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A2" w:rsidRPr="007633A2" w:rsidRDefault="007633A2" w:rsidP="007633A2">
      <w:pPr>
        <w:shd w:val="clear" w:color="auto" w:fill="FFFFFF"/>
        <w:spacing w:line="288" w:lineRule="auto"/>
        <w:jc w:val="center"/>
        <w:textAlignment w:val="center"/>
        <w:rPr>
          <w:rFonts w:ascii="Arial" w:eastAsia="Times New Roman" w:hAnsi="Arial" w:cs="Arial"/>
          <w:sz w:val="24"/>
          <w:szCs w:val="24"/>
          <w:lang w:eastAsia="es-ES"/>
        </w:rPr>
      </w:pPr>
      <w:r w:rsidRPr="007633A2">
        <w:rPr>
          <w:rFonts w:ascii="Arial" w:eastAsia="Times New Roman" w:hAnsi="Arial" w:cs="Arial"/>
          <w:b/>
          <w:bCs/>
          <w:sz w:val="24"/>
          <w:szCs w:val="24"/>
          <w:lang w:val="es-ES_tradnl" w:eastAsia="es-ES"/>
        </w:rPr>
        <w:t>TEXTO CONCILIADO AL PROYECTO DE LEY NÚMERO 135 DE 2012 CÁMARA, 119 DE 2012 SENADO</w:t>
      </w:r>
    </w:p>
    <w:p w:rsidR="007633A2" w:rsidRPr="007633A2" w:rsidRDefault="007633A2" w:rsidP="007633A2">
      <w:pPr>
        <w:shd w:val="clear" w:color="auto" w:fill="FFFFFF"/>
        <w:spacing w:line="288" w:lineRule="auto"/>
        <w:jc w:val="center"/>
        <w:textAlignment w:val="center"/>
        <w:rPr>
          <w:rFonts w:ascii="Arial" w:eastAsia="Times New Roman" w:hAnsi="Arial" w:cs="Arial"/>
          <w:sz w:val="24"/>
          <w:szCs w:val="24"/>
          <w:lang w:eastAsia="es-ES"/>
        </w:rPr>
      </w:pPr>
      <w:r w:rsidRPr="007633A2">
        <w:rPr>
          <w:rFonts w:ascii="Arial" w:eastAsia="Times New Roman" w:hAnsi="Arial" w:cs="Arial"/>
          <w:i/>
          <w:iCs/>
          <w:sz w:val="24"/>
          <w:szCs w:val="24"/>
          <w:lang w:eastAsia="es-ES"/>
        </w:rPr>
        <w:t>P</w:t>
      </w:r>
      <w:proofErr w:type="spellStart"/>
      <w:r w:rsidRPr="007633A2">
        <w:rPr>
          <w:rFonts w:ascii="Arial" w:eastAsia="Times New Roman" w:hAnsi="Arial" w:cs="Arial"/>
          <w:i/>
          <w:iCs/>
          <w:sz w:val="24"/>
          <w:szCs w:val="24"/>
          <w:lang w:val="es-ES_tradnl" w:eastAsia="es-ES"/>
        </w:rPr>
        <w:t>or</w:t>
      </w:r>
      <w:proofErr w:type="spellEnd"/>
      <w:r w:rsidRPr="007633A2">
        <w:rPr>
          <w:rFonts w:ascii="Arial" w:eastAsia="Times New Roman" w:hAnsi="Arial" w:cs="Arial"/>
          <w:i/>
          <w:iCs/>
          <w:sz w:val="24"/>
          <w:szCs w:val="24"/>
          <w:lang w:val="es-ES_tradnl" w:eastAsia="es-ES"/>
        </w:rPr>
        <w:t xml:space="preserve"> medio de la cual se adoptan medidas para mejo</w:t>
      </w:r>
      <w:r w:rsidRPr="007633A2">
        <w:rPr>
          <w:rFonts w:ascii="Arial" w:eastAsia="Times New Roman" w:hAnsi="Arial" w:cs="Arial"/>
          <w:i/>
          <w:iCs/>
          <w:spacing w:val="-2"/>
          <w:sz w:val="24"/>
          <w:szCs w:val="24"/>
          <w:lang w:val="es-ES_tradnl" w:eastAsia="es-ES"/>
        </w:rPr>
        <w:t>rar la liquidez y el uso de algunos recursos del sector</w:t>
      </w:r>
      <w:r w:rsidRPr="007633A2">
        <w:rPr>
          <w:rFonts w:ascii="Arial" w:eastAsia="Times New Roman" w:hAnsi="Arial" w:cs="Arial"/>
          <w:i/>
          <w:iCs/>
          <w:sz w:val="24"/>
          <w:szCs w:val="24"/>
          <w:lang w:val="es-ES_tradnl" w:eastAsia="es-ES"/>
        </w:rPr>
        <w:t xml:space="preserve"> salud.</w:t>
      </w:r>
    </w:p>
    <w:p w:rsidR="007633A2" w:rsidRPr="007633A2" w:rsidRDefault="007633A2" w:rsidP="007633A2">
      <w:pPr>
        <w:shd w:val="clear" w:color="auto" w:fill="FFFFFF"/>
        <w:spacing w:line="288" w:lineRule="auto"/>
        <w:jc w:val="both"/>
        <w:textAlignment w:val="center"/>
        <w:rPr>
          <w:rFonts w:ascii="Arial" w:eastAsia="Times New Roman" w:hAnsi="Arial" w:cs="Arial"/>
          <w:sz w:val="24"/>
          <w:szCs w:val="24"/>
          <w:lang w:eastAsia="es-ES"/>
        </w:rPr>
      </w:pPr>
      <w:r w:rsidRPr="007633A2">
        <w:rPr>
          <w:rFonts w:ascii="Arial" w:eastAsia="Times New Roman" w:hAnsi="Arial" w:cs="Arial"/>
          <w:i/>
          <w:iCs/>
          <w:sz w:val="24"/>
          <w:szCs w:val="24"/>
          <w:lang w:val="es-ES_tradnl" w:eastAsia="es-ES"/>
        </w:rPr>
        <w:t>.</w:t>
      </w:r>
    </w:p>
    <w:p w:rsidR="007633A2" w:rsidRPr="007633A2" w:rsidRDefault="007633A2" w:rsidP="007633A2">
      <w:pPr>
        <w:shd w:val="clear" w:color="auto" w:fill="FFFFFF"/>
        <w:spacing w:line="360" w:lineRule="auto"/>
        <w:jc w:val="center"/>
        <w:rPr>
          <w:rFonts w:ascii="Arial" w:eastAsia="Times New Roman" w:hAnsi="Arial" w:cs="Arial"/>
          <w:sz w:val="24"/>
          <w:szCs w:val="24"/>
          <w:lang w:eastAsia="es-ES"/>
        </w:rPr>
      </w:pPr>
      <w:r w:rsidRPr="007633A2">
        <w:rPr>
          <w:rFonts w:ascii="Arial" w:eastAsia="Times New Roman" w:hAnsi="Arial" w:cs="Arial"/>
          <w:b/>
          <w:bCs/>
          <w:sz w:val="24"/>
          <w:szCs w:val="24"/>
          <w:lang w:val="es-ES_tradnl" w:eastAsia="es-ES"/>
        </w:rPr>
        <w:t>El Congreso de Colombia</w:t>
      </w:r>
    </w:p>
    <w:p w:rsidR="007633A2" w:rsidRPr="007633A2" w:rsidRDefault="007633A2" w:rsidP="007633A2">
      <w:pPr>
        <w:shd w:val="clear" w:color="auto" w:fill="FFFFFF"/>
        <w:spacing w:line="360" w:lineRule="auto"/>
        <w:jc w:val="center"/>
        <w:rPr>
          <w:rFonts w:ascii="Arial" w:eastAsia="Times New Roman" w:hAnsi="Arial" w:cs="Arial"/>
          <w:sz w:val="24"/>
          <w:szCs w:val="24"/>
          <w:lang w:eastAsia="es-ES"/>
        </w:rPr>
      </w:pPr>
      <w:r w:rsidRPr="007633A2">
        <w:rPr>
          <w:rFonts w:ascii="Arial" w:eastAsia="Times New Roman" w:hAnsi="Arial" w:cs="Arial"/>
          <w:b/>
          <w:bCs/>
          <w:sz w:val="24"/>
          <w:szCs w:val="24"/>
          <w:lang w:val="es-ES_tradnl" w:eastAsia="es-ES"/>
        </w:rPr>
        <w:t>DECRETA:</w:t>
      </w:r>
    </w:p>
    <w:p w:rsidR="007633A2" w:rsidRPr="007633A2" w:rsidRDefault="007633A2" w:rsidP="007633A2">
      <w:pPr>
        <w:shd w:val="clear" w:color="auto" w:fill="FFFFFF"/>
        <w:spacing w:line="360" w:lineRule="auto"/>
        <w:jc w:val="both"/>
        <w:rPr>
          <w:rFonts w:ascii="Arial" w:eastAsia="Times New Roman" w:hAnsi="Arial" w:cs="Arial"/>
          <w:sz w:val="24"/>
          <w:szCs w:val="24"/>
          <w:lang w:eastAsia="es-ES"/>
        </w:rPr>
      </w:pPr>
    </w:p>
    <w:p w:rsidR="007633A2" w:rsidRPr="007633A2" w:rsidRDefault="007633A2" w:rsidP="007633A2">
      <w:pPr>
        <w:shd w:val="clear" w:color="auto" w:fill="FFFFFF"/>
        <w:spacing w:line="360" w:lineRule="auto"/>
        <w:jc w:val="both"/>
        <w:rPr>
          <w:rFonts w:ascii="Arial" w:eastAsia="Times New Roman" w:hAnsi="Arial" w:cs="Arial"/>
          <w:sz w:val="24"/>
          <w:szCs w:val="24"/>
          <w:lang w:eastAsia="es-ES"/>
        </w:rPr>
      </w:pPr>
      <w:r w:rsidRPr="007633A2">
        <w:rPr>
          <w:rFonts w:ascii="Arial" w:eastAsia="Times New Roman" w:hAnsi="Arial" w:cs="Arial"/>
          <w:b/>
          <w:bCs/>
          <w:sz w:val="24"/>
          <w:szCs w:val="24"/>
          <w:lang w:val="es-ES_tradnl" w:eastAsia="es-ES"/>
        </w:rPr>
        <w:t xml:space="preserve">Artículo 1°. </w:t>
      </w:r>
      <w:r w:rsidRPr="007633A2">
        <w:rPr>
          <w:rFonts w:ascii="Arial" w:eastAsia="Times New Roman" w:hAnsi="Arial" w:cs="Arial"/>
          <w:b/>
          <w:bCs/>
          <w:i/>
          <w:iCs/>
          <w:sz w:val="24"/>
          <w:szCs w:val="24"/>
          <w:lang w:val="es-ES_tradnl" w:eastAsia="es-ES"/>
        </w:rPr>
        <w:t>Objeto</w:t>
      </w:r>
      <w:r w:rsidRPr="007633A2">
        <w:rPr>
          <w:rFonts w:ascii="Arial" w:eastAsia="Times New Roman" w:hAnsi="Arial" w:cs="Arial"/>
          <w:b/>
          <w:bCs/>
          <w:sz w:val="24"/>
          <w:szCs w:val="24"/>
          <w:lang w:val="es-ES_tradnl" w:eastAsia="es-ES"/>
        </w:rPr>
        <w:t>.</w:t>
      </w:r>
      <w:r w:rsidRPr="007633A2">
        <w:rPr>
          <w:rFonts w:ascii="Arial" w:eastAsia="Times New Roman" w:hAnsi="Arial" w:cs="Arial"/>
          <w:sz w:val="24"/>
          <w:szCs w:val="24"/>
          <w:lang w:val="es-ES_tradnl" w:eastAsia="es-ES"/>
        </w:rPr>
        <w:t xml:space="preserve"> La presente ley tiene por objeto definir medidas para mejorar el flujo de recursos y la liquidez del sector salud a través del uso de recursos que corresponden a saldos o excedentes de cuentas maestras del Régimen Subsidiado de Salud, aportes patronales y rentas cedidas, y definir mecanismos para el financiamiento de las deudas reconocidas del Régimen Subsidiado de </w:t>
      </w:r>
      <w:r w:rsidRPr="007633A2">
        <w:rPr>
          <w:rFonts w:ascii="Arial" w:eastAsia="Times New Roman" w:hAnsi="Arial" w:cs="Arial"/>
          <w:caps/>
          <w:sz w:val="24"/>
          <w:szCs w:val="24"/>
          <w:lang w:val="es-ES_tradnl" w:eastAsia="es-ES"/>
        </w:rPr>
        <w:t>s</w:t>
      </w:r>
      <w:r w:rsidRPr="007633A2">
        <w:rPr>
          <w:rFonts w:ascii="Arial" w:eastAsia="Times New Roman" w:hAnsi="Arial" w:cs="Arial"/>
          <w:sz w:val="24"/>
          <w:szCs w:val="24"/>
          <w:lang w:val="es-ES_tradnl" w:eastAsia="es-ES"/>
        </w:rPr>
        <w:t>alud por las entidades territoriales en el marco de lo señalado en el artículo 275 de la Ley 1450 de 2011.</w:t>
      </w:r>
    </w:p>
    <w:p w:rsidR="007633A2" w:rsidRPr="007633A2" w:rsidRDefault="007633A2" w:rsidP="007633A2">
      <w:pPr>
        <w:shd w:val="clear" w:color="auto" w:fill="FFFFFF"/>
        <w:spacing w:line="360" w:lineRule="auto"/>
        <w:jc w:val="both"/>
        <w:textAlignment w:val="center"/>
        <w:rPr>
          <w:rFonts w:ascii="Arial" w:eastAsia="Times New Roman" w:hAnsi="Arial" w:cs="Arial"/>
          <w:sz w:val="24"/>
          <w:szCs w:val="24"/>
          <w:lang w:eastAsia="es-ES"/>
        </w:rPr>
      </w:pPr>
    </w:p>
    <w:p w:rsidR="007633A2" w:rsidRPr="007633A2" w:rsidRDefault="007633A2" w:rsidP="007633A2">
      <w:pPr>
        <w:shd w:val="clear" w:color="auto" w:fill="FFFFFF"/>
        <w:spacing w:line="360" w:lineRule="auto"/>
        <w:jc w:val="both"/>
        <w:textAlignment w:val="center"/>
        <w:rPr>
          <w:rFonts w:ascii="Arial" w:eastAsia="Times New Roman" w:hAnsi="Arial" w:cs="Arial"/>
          <w:sz w:val="24"/>
          <w:szCs w:val="24"/>
          <w:lang w:eastAsia="es-ES"/>
        </w:rPr>
      </w:pPr>
      <w:r w:rsidRPr="007633A2">
        <w:rPr>
          <w:rFonts w:ascii="Arial" w:eastAsia="Times New Roman" w:hAnsi="Arial" w:cs="Arial"/>
          <w:b/>
          <w:bCs/>
          <w:sz w:val="24"/>
          <w:szCs w:val="24"/>
          <w:lang w:val="es-ES_tradnl" w:eastAsia="es-ES"/>
        </w:rPr>
        <w:t xml:space="preserve">Artículo 2°. </w:t>
      </w:r>
      <w:r w:rsidRPr="007633A2">
        <w:rPr>
          <w:rFonts w:ascii="Arial" w:eastAsia="Times New Roman" w:hAnsi="Arial" w:cs="Arial"/>
          <w:b/>
          <w:bCs/>
          <w:i/>
          <w:iCs/>
          <w:sz w:val="24"/>
          <w:szCs w:val="24"/>
          <w:lang w:val="es-ES_tradnl" w:eastAsia="es-ES"/>
        </w:rPr>
        <w:t>Uso de los recursos de saldos de las cuentas maestras.</w:t>
      </w:r>
      <w:r w:rsidRPr="007633A2">
        <w:rPr>
          <w:rFonts w:ascii="Arial" w:eastAsia="Times New Roman" w:hAnsi="Arial" w:cs="Arial"/>
          <w:sz w:val="24"/>
          <w:szCs w:val="24"/>
          <w:lang w:val="es-ES_tradnl" w:eastAsia="es-ES"/>
        </w:rPr>
        <w:t xml:space="preserve"> Los saldos de las cuentas maestras del régimen subsidiado de salud, podrán usarse conforme se señala a continuación siempre y cuando no sean requeridos para garantizar los compromisos y contingencias derivados del Régimen Subsidiado de Salud y descontados los que se encuentren previstos para utilizarse conforme a lo señalado en el artículo 89 de la Ley 1485 de 2011:</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1. Para asumir el esfuerzo propio a cargo de los municipios y distritos, que durante las vigencias del 2011, 2012 y 2013 se deba aportar en la cofinanciación del Régimen Subsidiado de Salud. Estos recursos se girarán directamente a las Instituciones Prestadoras de Servicios de Salud.</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2. En el pago de los servicios prestados a la población pobre no asegurada y para el pago de los servicios no incluidos en el Plan de Beneficios a cargo del departamento o distrito asumidos por Instituciones Prestadoras de Servicios de Salud públicas o privadas, sin importar la fecha de causación de la obligación, previa auditoría de cuentas conforme a lo establecido por las normas legales y reglamentarias vigentes.</w:t>
      </w:r>
    </w:p>
    <w:p w:rsidR="007633A2" w:rsidRPr="007633A2" w:rsidRDefault="007633A2" w:rsidP="007633A2">
      <w:pPr>
        <w:shd w:val="clear" w:color="auto" w:fill="FFFFFF"/>
        <w:spacing w:line="360" w:lineRule="auto"/>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 xml:space="preserve">  Para lo dispuesto en este numeral, las entidades territoriales definirán mediante acto administrativo el monto que se destinará a este propósito, el cual será girado en todo los casos a las Instituciones Prestadoras de Servicios de </w:t>
      </w:r>
      <w:r w:rsidRPr="007633A2">
        <w:rPr>
          <w:rFonts w:ascii="Arial" w:eastAsia="Times New Roman" w:hAnsi="Arial" w:cs="Arial"/>
          <w:sz w:val="24"/>
          <w:szCs w:val="24"/>
          <w:lang w:val="es-ES_tradnl" w:eastAsia="es-ES"/>
        </w:rPr>
        <w:lastRenderedPageBreak/>
        <w:t xml:space="preserve">Salud. En estos pagos se privilegiarán a las Instituciones Prestadoras de Servicios de Salud Públicas </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3. Para financiar programas de saneamiento fiscal y financiero de Empresas Sociales del Estado categorizadas en riesgo medio y alto en cumplimiento de la Ley 1438 de 2011. Estos programas incluirán medidas que deberán seguir el siguiente orden de prelación: pago de acreencias laborales, reestructuración y saneamiento de pasivos, adquisición de cartera,  disposición de capital de trabajo, pago de cartera originada en las cuotas de recuperación por servicios prestados a la población pobre no asegurada o servicios no incluidos en el plan de beneficios de difícil cobro. Para efectos de la adquisición de cartera, la entidad territorial deberá adelantar las gestiones de cobro que correspondan ante el deudor o efectuar acuerdos de pago.</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4. En la inversión en el mejoramiento de la infraestructura y dotación de la red pública de Instituciones Prestadoras de Servicios de Salud, en el marco de la organización de la red de prestación de servicios. Los Municipios y Distritos no certificados ejecutarán los recursos a que hace referencia este numeral, en coordinación con el Departamento. Estas inversiones deberán estar incluidas en el Plan Bienal de Inversiones en salud del respectivo departamento o distrito.</w:t>
      </w:r>
    </w:p>
    <w:p w:rsidR="007633A2" w:rsidRPr="007633A2" w:rsidRDefault="007633A2" w:rsidP="007633A2">
      <w:pPr>
        <w:shd w:val="clear" w:color="auto" w:fill="FFFFFF"/>
        <w:spacing w:line="360" w:lineRule="auto"/>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eastAsia="es-ES"/>
        </w:rPr>
        <w:t xml:space="preserve">    </w:t>
      </w:r>
      <w:r w:rsidRPr="007633A2">
        <w:rPr>
          <w:rFonts w:ascii="Arial" w:eastAsia="Times New Roman" w:hAnsi="Arial" w:cs="Arial"/>
          <w:sz w:val="24"/>
          <w:szCs w:val="24"/>
          <w:lang w:val="es-ES_tradnl" w:eastAsia="es-ES"/>
        </w:rPr>
        <w:t>5. Para financiar en los municipios y distritos categorías Especial, 1 y 2, pruebas piloto que permitan hacer ajustes a la UPC del Régimen Subsidiado de Salud en la forma como lo determine y reglamente el Ministerio de Salud y Protección Social.</w:t>
      </w:r>
    </w:p>
    <w:p w:rsidR="007633A2" w:rsidRPr="007633A2" w:rsidRDefault="007633A2" w:rsidP="007633A2">
      <w:pPr>
        <w:shd w:val="clear" w:color="auto" w:fill="FFFFFF"/>
        <w:spacing w:line="360" w:lineRule="auto"/>
        <w:jc w:val="both"/>
        <w:textAlignment w:val="center"/>
        <w:rPr>
          <w:rFonts w:ascii="Arial" w:eastAsia="Times New Roman" w:hAnsi="Arial" w:cs="Arial"/>
          <w:sz w:val="24"/>
          <w:szCs w:val="24"/>
          <w:lang w:eastAsia="es-ES"/>
        </w:rPr>
      </w:pPr>
      <w:r w:rsidRPr="007633A2">
        <w:rPr>
          <w:rFonts w:ascii="Arial" w:eastAsia="Times New Roman" w:hAnsi="Arial" w:cs="Arial"/>
          <w:b/>
          <w:bCs/>
          <w:spacing w:val="2"/>
          <w:sz w:val="24"/>
          <w:szCs w:val="24"/>
          <w:lang w:eastAsia="es-ES"/>
        </w:rPr>
        <w:t xml:space="preserve">  </w:t>
      </w:r>
      <w:r w:rsidRPr="007633A2">
        <w:rPr>
          <w:rFonts w:ascii="Arial" w:eastAsia="Times New Roman" w:hAnsi="Arial" w:cs="Arial"/>
          <w:b/>
          <w:bCs/>
          <w:spacing w:val="2"/>
          <w:sz w:val="24"/>
          <w:szCs w:val="24"/>
          <w:lang w:val="es-ES_tradnl" w:eastAsia="es-ES"/>
        </w:rPr>
        <w:t xml:space="preserve">Parágrafo. </w:t>
      </w:r>
      <w:r w:rsidRPr="007633A2">
        <w:rPr>
          <w:rFonts w:ascii="Arial" w:eastAsia="Times New Roman" w:hAnsi="Arial" w:cs="Arial"/>
          <w:spacing w:val="2"/>
          <w:sz w:val="24"/>
          <w:szCs w:val="24"/>
          <w:lang w:val="es-ES_tradnl" w:eastAsia="es-ES"/>
        </w:rPr>
        <w:t>Para usar los recursos de acuerdo a lo definido en los numerales 4 y 5, las entidades territoriales deberán tener garantizada la cofinanciación del esfuerzo propio del Régimen Subsidiado de Salud que les corresponda efectuar. Asimismo haber previsto en el caso que proceda, la inversión a que hace referencia el numeral 2 del presente artículo.</w:t>
      </w:r>
    </w:p>
    <w:p w:rsidR="007633A2" w:rsidRPr="007633A2" w:rsidRDefault="007633A2" w:rsidP="007633A2">
      <w:pPr>
        <w:shd w:val="clear" w:color="auto" w:fill="FFFFFF"/>
        <w:spacing w:line="360" w:lineRule="auto"/>
        <w:jc w:val="both"/>
        <w:textAlignment w:val="center"/>
        <w:rPr>
          <w:rFonts w:ascii="Arial" w:eastAsia="Times New Roman" w:hAnsi="Arial" w:cs="Arial"/>
          <w:sz w:val="24"/>
          <w:szCs w:val="24"/>
          <w:lang w:eastAsia="es-ES"/>
        </w:rPr>
      </w:pPr>
    </w:p>
    <w:p w:rsidR="007633A2" w:rsidRPr="007633A2" w:rsidRDefault="007633A2" w:rsidP="007633A2">
      <w:pPr>
        <w:shd w:val="clear" w:color="auto" w:fill="FFFFFF"/>
        <w:spacing w:line="360" w:lineRule="auto"/>
        <w:jc w:val="both"/>
        <w:textAlignment w:val="center"/>
        <w:rPr>
          <w:rFonts w:ascii="Arial" w:eastAsia="Times New Roman" w:hAnsi="Arial" w:cs="Arial"/>
          <w:sz w:val="24"/>
          <w:szCs w:val="24"/>
          <w:lang w:eastAsia="es-ES"/>
        </w:rPr>
      </w:pPr>
      <w:r w:rsidRPr="007633A2">
        <w:rPr>
          <w:rFonts w:ascii="Arial" w:eastAsia="Times New Roman" w:hAnsi="Arial" w:cs="Arial"/>
          <w:b/>
          <w:bCs/>
          <w:sz w:val="24"/>
          <w:szCs w:val="24"/>
          <w:lang w:val="es-ES_tradnl" w:eastAsia="es-ES"/>
        </w:rPr>
        <w:t xml:space="preserve">Artículo 3°. </w:t>
      </w:r>
      <w:r w:rsidRPr="007633A2">
        <w:rPr>
          <w:rFonts w:ascii="Arial" w:eastAsia="Times New Roman" w:hAnsi="Arial" w:cs="Arial"/>
          <w:b/>
          <w:bCs/>
          <w:i/>
          <w:iCs/>
          <w:sz w:val="24"/>
          <w:szCs w:val="24"/>
          <w:lang w:val="es-ES_tradnl" w:eastAsia="es-ES"/>
        </w:rPr>
        <w:t>Uso de los recursos de aportes patronales</w:t>
      </w:r>
      <w:r w:rsidRPr="007633A2">
        <w:rPr>
          <w:rFonts w:ascii="Arial" w:eastAsia="Times New Roman" w:hAnsi="Arial" w:cs="Arial"/>
          <w:b/>
          <w:bCs/>
          <w:sz w:val="24"/>
          <w:szCs w:val="24"/>
          <w:lang w:val="es-ES_tradnl" w:eastAsia="es-ES"/>
        </w:rPr>
        <w:t>.</w:t>
      </w:r>
      <w:r w:rsidRPr="007633A2">
        <w:rPr>
          <w:rFonts w:ascii="Arial" w:eastAsia="Times New Roman" w:hAnsi="Arial" w:cs="Arial"/>
          <w:sz w:val="24"/>
          <w:szCs w:val="24"/>
          <w:lang w:val="es-ES_tradnl" w:eastAsia="es-ES"/>
        </w:rPr>
        <w:t xml:space="preserve"> Los recursos del sistema general de participaciones del componente de prestación de servicios en lo no cubierto con subsidios a la demanda aportes patronales, se usarán de la siguiente forma:</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lastRenderedPageBreak/>
        <w:t>1. Durante los años 2013 y 2014 los recursos del sistema general de participaciones transferidos sin situación de fondos y presupuestados por las empresas sociales del Estado por concepto de aportes patronales, no estarán sujetos a reconocimiento por servicios prestados. Estos recursos se considerarán subsidio a la oferta.</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Los recursos de aportes patronales del componente de prestación de servicios en lo no cubierto con subsidios a la demanda girados y que no hayan sido facturados durante la vigencia 2012 estarán sujetos a lo dispuesto en este numeral.</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Los aumentos a la nómina y consecuentes incrementos de los aportes patronales posteriores a la vigencia 2012, no serán considerados para efectos del presente artículo.</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La entidad territorial podrá establecer metas a las Instituciones Prestadoras de servicios de salud públicas beneficiarias de los aportes patronales para la ejecución de estos recursos.</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2. Los recursos de excedentes de aportes patronales correspondientes a activos remanentes del recaudo de aportes al Sistema de Seguridad Social en Salud provenientes del proceso de liquidación de CAJANAL  EPS, se podrán usar por los departamentos y distritos así:</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 xml:space="preserve">Para el pago de los servicios prestados a la población pobre no asegurada y servicios no incluidos en el Plan de Beneficios a </w:t>
      </w:r>
      <w:proofErr w:type="gramStart"/>
      <w:r w:rsidRPr="007633A2">
        <w:rPr>
          <w:rFonts w:ascii="Arial" w:eastAsia="Times New Roman" w:hAnsi="Arial" w:cs="Arial"/>
          <w:sz w:val="24"/>
          <w:szCs w:val="24"/>
          <w:lang w:val="es-ES_tradnl" w:eastAsia="es-ES"/>
        </w:rPr>
        <w:t>cargo del departamento o distrito asumidos por las Instituciones Prestadoras de Servicios de Salud públicas o privadas o pagados</w:t>
      </w:r>
      <w:proofErr w:type="gramEnd"/>
      <w:r w:rsidRPr="007633A2">
        <w:rPr>
          <w:rFonts w:ascii="Arial" w:eastAsia="Times New Roman" w:hAnsi="Arial" w:cs="Arial"/>
          <w:sz w:val="24"/>
          <w:szCs w:val="24"/>
          <w:lang w:val="es-ES_tradnl" w:eastAsia="es-ES"/>
        </w:rPr>
        <w:t xml:space="preserve"> por las EPS. Los recursos a que hace referencia este artículo en todos los casos se girarán directamente a las Instituciones Prestadoras de Servicios de Salud desde el mecanismo de recaudo y giro creado en desarrollo del artículo 31 de la Ley 1438 de 2011; para este fin las entidades territoriales y las EPS, según sea el caso, remitirán al Ministerio de Salud y Protección Social la información de las Instituciones Prestadoras de Servicios de Salud a quienes se harán dichos giros conforme a lo previsto en este artículo. En estos pagos, se privilegiarán a las Instituciones Prestadoras de Servicios de Salud Públicas y las obligaciones de mayor antigüedad.</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La distribución de estos recursos se hará entre los departamentos y distritos así:</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lastRenderedPageBreak/>
        <w:t>a) 50% del total de los recursos en partes iguales entre todos los departamentos y distritos del país.</w:t>
      </w:r>
    </w:p>
    <w:p w:rsidR="007633A2" w:rsidRPr="007633A2" w:rsidRDefault="007633A2" w:rsidP="007633A2">
      <w:pPr>
        <w:shd w:val="clear" w:color="auto" w:fill="FFFFFF"/>
        <w:spacing w:line="360" w:lineRule="auto"/>
        <w:ind w:firstLine="709"/>
        <w:jc w:val="both"/>
        <w:rPr>
          <w:rFonts w:ascii="Arial" w:eastAsia="Times New Roman" w:hAnsi="Arial" w:cs="Arial"/>
          <w:sz w:val="24"/>
          <w:szCs w:val="24"/>
          <w:lang w:eastAsia="es-ES"/>
        </w:rPr>
      </w:pPr>
      <w:r w:rsidRPr="007633A2">
        <w:rPr>
          <w:rFonts w:ascii="Arial" w:eastAsia="Times New Roman" w:hAnsi="Arial" w:cs="Arial"/>
          <w:spacing w:val="-2"/>
          <w:sz w:val="24"/>
          <w:szCs w:val="24"/>
          <w:lang w:val="es-ES_tradnl" w:eastAsia="es-ES"/>
        </w:rPr>
        <w:t>b) 50% entre departamentos y distritos con la fórmula dispuesta en el inciso 2° del artículo 49 de la Ley 715 de 2001 y demás disposiciones reglamentarias.</w:t>
      </w:r>
    </w:p>
    <w:p w:rsidR="007633A2" w:rsidRPr="007633A2" w:rsidRDefault="007633A2" w:rsidP="007633A2">
      <w:pPr>
        <w:shd w:val="clear" w:color="auto" w:fill="FFFFFF"/>
        <w:spacing w:line="360" w:lineRule="auto"/>
        <w:jc w:val="both"/>
        <w:textAlignment w:val="center"/>
        <w:rPr>
          <w:rFonts w:ascii="Arial" w:eastAsia="Times New Roman" w:hAnsi="Arial" w:cs="Arial"/>
          <w:sz w:val="24"/>
          <w:szCs w:val="24"/>
          <w:lang w:eastAsia="es-ES"/>
        </w:rPr>
      </w:pPr>
    </w:p>
    <w:p w:rsidR="007633A2" w:rsidRPr="007633A2" w:rsidRDefault="007633A2" w:rsidP="007633A2">
      <w:pPr>
        <w:shd w:val="clear" w:color="auto" w:fill="FFFFFF"/>
        <w:spacing w:line="360" w:lineRule="auto"/>
        <w:jc w:val="both"/>
        <w:textAlignment w:val="center"/>
        <w:rPr>
          <w:rFonts w:ascii="Arial" w:eastAsia="Times New Roman" w:hAnsi="Arial" w:cs="Arial"/>
          <w:sz w:val="24"/>
          <w:szCs w:val="24"/>
          <w:lang w:eastAsia="es-ES"/>
        </w:rPr>
      </w:pPr>
      <w:r w:rsidRPr="007633A2">
        <w:rPr>
          <w:rFonts w:ascii="Arial" w:eastAsia="Times New Roman" w:hAnsi="Arial" w:cs="Arial"/>
          <w:b/>
          <w:bCs/>
          <w:sz w:val="24"/>
          <w:szCs w:val="24"/>
          <w:lang w:val="es-ES_tradnl" w:eastAsia="es-ES"/>
        </w:rPr>
        <w:t xml:space="preserve">Artículo 4°. </w:t>
      </w:r>
      <w:r w:rsidRPr="007633A2">
        <w:rPr>
          <w:rFonts w:ascii="Arial" w:eastAsia="Times New Roman" w:hAnsi="Arial" w:cs="Arial"/>
          <w:b/>
          <w:bCs/>
          <w:i/>
          <w:iCs/>
          <w:sz w:val="24"/>
          <w:szCs w:val="24"/>
          <w:lang w:val="es-ES_tradnl" w:eastAsia="es-ES"/>
        </w:rPr>
        <w:t>Uso de los recursos de excedentes de rentas cedidas.</w:t>
      </w:r>
      <w:r w:rsidRPr="007633A2">
        <w:rPr>
          <w:rFonts w:ascii="Arial" w:eastAsia="Times New Roman" w:hAnsi="Arial" w:cs="Arial"/>
          <w:sz w:val="24"/>
          <w:szCs w:val="24"/>
          <w:lang w:val="es-ES_tradnl" w:eastAsia="es-ES"/>
        </w:rPr>
        <w:t xml:space="preserve"> Los departamentos y distritos, en las vigencias 2012 y 2013, podrán utilizar los recursos excedentes de las rentas cedidas en el fortalecimiento de la infraestructura, la renovación tecnológica, el saneamiento fiscal y financiero que garantice la adecuada operación de las Empresas Sociales del Estado y en el pago de las deudas reconocidas del Régimen Subsidiado de Salud en el marco del procedimiento establecido en desarrollo del artículo 275 de la Ley 1450 de 2011; en este último caso los recursos serán girados directamente a Instituciones Prestadoras de Servicios de salud del departamento o distrito. El uso de estos recursos según lo aquí previsto, sólo se podrá dar si se encuentra financiada la atención en salud de la población pobre en lo no cubierto con subsidios a la demanda o de la población pobre no afiliada y se hubieren destinado los recursos de rentas cedidas que cofinancian el Régimen Subsidiado de Salud conforme a lo establecido en las Leyes 1393 de 2010 y 1438 de 2011 y demás normas que definen el uso de estos recursos.</w:t>
      </w:r>
    </w:p>
    <w:p w:rsidR="007633A2" w:rsidRPr="007633A2" w:rsidRDefault="007633A2" w:rsidP="007633A2">
      <w:pPr>
        <w:shd w:val="clear" w:color="auto" w:fill="FFFFFF"/>
        <w:spacing w:line="360" w:lineRule="auto"/>
        <w:ind w:firstLine="709"/>
        <w:jc w:val="both"/>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Los proyectos de infraestructura y renovación tecnológica deberán estar articulados con los planes bienales de las Entidades Territoriales y con la organización de la red de prestación de servicios.</w:t>
      </w:r>
    </w:p>
    <w:p w:rsidR="007633A2" w:rsidRPr="007633A2" w:rsidRDefault="007633A2" w:rsidP="007633A2">
      <w:pPr>
        <w:shd w:val="clear" w:color="auto" w:fill="FFFFFF"/>
        <w:spacing w:line="360" w:lineRule="auto"/>
        <w:jc w:val="both"/>
        <w:textAlignment w:val="center"/>
        <w:rPr>
          <w:rFonts w:ascii="Arial" w:eastAsia="Times New Roman" w:hAnsi="Arial" w:cs="Arial"/>
          <w:sz w:val="24"/>
          <w:szCs w:val="24"/>
          <w:lang w:eastAsia="es-ES"/>
        </w:rPr>
      </w:pPr>
    </w:p>
    <w:p w:rsidR="007633A2" w:rsidRPr="007633A2" w:rsidRDefault="007633A2" w:rsidP="007633A2">
      <w:pPr>
        <w:shd w:val="clear" w:color="auto" w:fill="FFFFFF"/>
        <w:spacing w:line="360" w:lineRule="auto"/>
        <w:jc w:val="both"/>
        <w:textAlignment w:val="center"/>
        <w:rPr>
          <w:rFonts w:ascii="Arial" w:eastAsia="Times New Roman" w:hAnsi="Arial" w:cs="Arial"/>
          <w:sz w:val="24"/>
          <w:szCs w:val="24"/>
          <w:lang w:eastAsia="es-ES"/>
        </w:rPr>
      </w:pPr>
      <w:r w:rsidRPr="007633A2">
        <w:rPr>
          <w:rFonts w:ascii="Arial" w:eastAsia="Times New Roman" w:hAnsi="Arial" w:cs="Arial"/>
          <w:b/>
          <w:bCs/>
          <w:sz w:val="24"/>
          <w:szCs w:val="24"/>
          <w:lang w:val="es-ES_tradnl" w:eastAsia="es-ES"/>
        </w:rPr>
        <w:t xml:space="preserve">Artículo 5°. </w:t>
      </w:r>
      <w:r w:rsidRPr="007633A2">
        <w:rPr>
          <w:rFonts w:ascii="Arial" w:eastAsia="Times New Roman" w:hAnsi="Arial" w:cs="Arial"/>
          <w:b/>
          <w:bCs/>
          <w:i/>
          <w:iCs/>
          <w:sz w:val="24"/>
          <w:szCs w:val="24"/>
          <w:lang w:val="es-ES_tradnl" w:eastAsia="es-ES"/>
        </w:rPr>
        <w:t>Saneamiento de deudas del Régimen Subsidiado reconocidas en virtud del artículo 275 de la Ley 1450 de 2011</w:t>
      </w:r>
      <w:r w:rsidRPr="007633A2">
        <w:rPr>
          <w:rFonts w:ascii="Arial" w:eastAsia="Times New Roman" w:hAnsi="Arial" w:cs="Arial"/>
          <w:b/>
          <w:bCs/>
          <w:sz w:val="24"/>
          <w:szCs w:val="24"/>
          <w:lang w:val="es-ES_tradnl" w:eastAsia="es-ES"/>
        </w:rPr>
        <w:t>.</w:t>
      </w:r>
      <w:r w:rsidRPr="007633A2">
        <w:rPr>
          <w:rFonts w:ascii="Arial" w:eastAsia="Times New Roman" w:hAnsi="Arial" w:cs="Arial"/>
          <w:sz w:val="24"/>
          <w:szCs w:val="24"/>
          <w:lang w:val="es-ES_tradnl" w:eastAsia="es-ES"/>
        </w:rPr>
        <w:t xml:space="preserve"> Para el saneamiento de estas deudas además del uso de los recursos del artículo 275 de la Ley 1450 de 2011, las entidades territoriales tendrán las siguientes alternativas para el pago:</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 xml:space="preserve">1. Autorícese al Ministerio de Salud y Protección Social para disponer por una sola vez de recursos del FOSYGA hasta un monto de ciento cincuenta mil millones de pesos ($150.000.000.000) para que las entidades territoriales puedan atender las deudas reconocidas del Régimen Subsidiado de Salud en </w:t>
      </w:r>
      <w:r w:rsidRPr="007633A2">
        <w:rPr>
          <w:rFonts w:ascii="Arial" w:eastAsia="Times New Roman" w:hAnsi="Arial" w:cs="Arial"/>
          <w:sz w:val="24"/>
          <w:szCs w:val="24"/>
          <w:lang w:val="es-ES_tradnl" w:eastAsia="es-ES"/>
        </w:rPr>
        <w:lastRenderedPageBreak/>
        <w:t>virtud de lo establecido en el artículo 275 de la Ley 1450 de 2011 y sus reglamentos.</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Estos recursos se asignarán por parte del Ministerio de Salud y Protección Social a los municipios de categorías 4, 5 y 6 que tengan deudas reconocidas y no pagadas, en el marco del artículo 275 de la Ley 1450 de 2011 y sus reglamentos. Para lo anterior, se priorizarán los municipios que hayan destinado o destinen recursos de regalías y del Sistema General de Participaciones Propósito General de Libre Inversión, para el pago de las deudas a que hace referencia este artículo.</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En ningún caso se podrá asignar más del 3% del total de los recursos previstos en el presente artículo a una sola entidad territorial y más del 70% del total de la deuda reconocida no pagada con recursos de la cuenta maestra y el Fondo de Ahorro y Estabilización Petrolero - FAEP.</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Los recursos asignados deberán ser restituidos por parte de las entidades territoriales beneficiarias, en los plazos que establezca el Ministerio de Salud y Protección Social, que en ningún caso superará diez (10) años, a través del incremento de su esfuerzo propio en la cofinanciación del Régimen Subsidiado de Salud. Con este propósito, las entidades territoriales deberán definir las fuentes territoriales de recaudo nacional con las que asumirán el esfuerzo propio en la cofinanciación del Régimen Subsidiado, las cuales se girarán desde la fuente al mecanismo único de recaudo y giro implementado según lo dispuesto en el artículo 31 de la Ley 1438 de 2011. Para la restitución de estos recursos, en ningún caso se podrá afectar más del 30% del valor asignado del Sistema General de Participaciones Propósito General de Libre Inversión en cada anualidad.</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El giro se realizará directamente a las Instituciones Prestadoras de Servicios de Salud, con quienes las Entidades Promotoras de Salud tengan deudas o recursos pendientes de pago por la prestación de servicios de salud de la población afiliada al Régimen Subsidiado de Salud, independiente de la fecha de causación de las obligaciones, privilegiando las Instituciones Prestadoras de Servicios de Salud Públicas y las I.P.S. indígenas y las obligaciones de mayor antigüedad.</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lastRenderedPageBreak/>
        <w:t>El Ministro de Salud consolidará un informe pormenorizado sobre el uso de estos recursos el cual presentará al Congreso de la República en el término de un año después de la entrada en vigencia de la ley.</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2. Adicionalmente, para el pago de estas deudas la Financiera de Desarrollo Territorial FINDETER podrá disponer líneas de crédito de mediano y largo plazo con tasa compensada.</w:t>
      </w:r>
    </w:p>
    <w:p w:rsidR="007633A2" w:rsidRPr="007633A2" w:rsidRDefault="007633A2" w:rsidP="007633A2">
      <w:pPr>
        <w:shd w:val="clear" w:color="auto" w:fill="FFFFFF"/>
        <w:spacing w:line="360" w:lineRule="auto"/>
        <w:jc w:val="both"/>
        <w:textAlignment w:val="center"/>
        <w:rPr>
          <w:rFonts w:ascii="Arial" w:eastAsia="Times New Roman" w:hAnsi="Arial" w:cs="Arial"/>
          <w:sz w:val="24"/>
          <w:szCs w:val="24"/>
          <w:lang w:eastAsia="es-ES"/>
        </w:rPr>
      </w:pPr>
    </w:p>
    <w:p w:rsidR="007633A2" w:rsidRPr="007633A2" w:rsidRDefault="007633A2" w:rsidP="007633A2">
      <w:pPr>
        <w:shd w:val="clear" w:color="auto" w:fill="FFFFFF"/>
        <w:spacing w:line="360" w:lineRule="auto"/>
        <w:jc w:val="both"/>
        <w:textAlignment w:val="center"/>
        <w:rPr>
          <w:rFonts w:ascii="Arial" w:eastAsia="Times New Roman" w:hAnsi="Arial" w:cs="Arial"/>
          <w:sz w:val="24"/>
          <w:szCs w:val="24"/>
          <w:lang w:eastAsia="es-ES"/>
        </w:rPr>
      </w:pPr>
      <w:r w:rsidRPr="007633A2">
        <w:rPr>
          <w:rFonts w:ascii="Arial" w:eastAsia="Times New Roman" w:hAnsi="Arial" w:cs="Arial"/>
          <w:b/>
          <w:bCs/>
          <w:sz w:val="24"/>
          <w:szCs w:val="24"/>
          <w:lang w:val="es-ES_tradnl" w:eastAsia="es-ES"/>
        </w:rPr>
        <w:t xml:space="preserve">Artículo 6°. </w:t>
      </w:r>
      <w:r w:rsidRPr="007633A2">
        <w:rPr>
          <w:rFonts w:ascii="Arial" w:eastAsia="Times New Roman" w:hAnsi="Arial" w:cs="Arial"/>
          <w:b/>
          <w:bCs/>
          <w:i/>
          <w:iCs/>
          <w:sz w:val="24"/>
          <w:szCs w:val="24"/>
          <w:lang w:val="es-ES_tradnl" w:eastAsia="es-ES"/>
        </w:rPr>
        <w:t>Adiciónese el artículo 150 de la Ley 1530 de 2012</w:t>
      </w:r>
      <w:r w:rsidRPr="007633A2">
        <w:rPr>
          <w:rFonts w:ascii="Arial" w:eastAsia="Times New Roman" w:hAnsi="Arial" w:cs="Arial"/>
          <w:b/>
          <w:bCs/>
          <w:sz w:val="24"/>
          <w:szCs w:val="24"/>
          <w:lang w:val="es-ES_tradnl" w:eastAsia="es-ES"/>
        </w:rPr>
        <w:t>.</w:t>
      </w:r>
      <w:r w:rsidRPr="007633A2">
        <w:rPr>
          <w:rFonts w:ascii="Arial" w:eastAsia="Times New Roman" w:hAnsi="Arial" w:cs="Arial"/>
          <w:sz w:val="24"/>
          <w:szCs w:val="24"/>
          <w:lang w:val="es-ES_tradnl" w:eastAsia="es-ES"/>
        </w:rPr>
        <w:t xml:space="preserve"> Se adiciona el siguiente parágrafo al artículo 150 de la Ley 1530 de 2012:</w:t>
      </w:r>
    </w:p>
    <w:p w:rsidR="007633A2" w:rsidRPr="007633A2" w:rsidRDefault="007633A2" w:rsidP="007633A2">
      <w:pPr>
        <w:shd w:val="clear" w:color="auto" w:fill="FFFFFF"/>
        <w:spacing w:line="360" w:lineRule="auto"/>
        <w:ind w:firstLine="709"/>
        <w:jc w:val="both"/>
        <w:rPr>
          <w:rFonts w:ascii="Arial" w:eastAsia="Times New Roman" w:hAnsi="Arial" w:cs="Arial"/>
          <w:sz w:val="24"/>
          <w:szCs w:val="24"/>
          <w:lang w:eastAsia="es-ES"/>
        </w:rPr>
      </w:pPr>
      <w:r w:rsidRPr="007633A2">
        <w:rPr>
          <w:rFonts w:ascii="Arial" w:eastAsia="Times New Roman" w:hAnsi="Arial" w:cs="Arial"/>
          <w:b/>
          <w:bCs/>
          <w:sz w:val="24"/>
          <w:szCs w:val="24"/>
          <w:lang w:val="es-ES_tradnl" w:eastAsia="es-ES"/>
        </w:rPr>
        <w:t>Parágrafo.</w:t>
      </w:r>
      <w:r w:rsidRPr="007633A2">
        <w:rPr>
          <w:rFonts w:ascii="Arial" w:eastAsia="Times New Roman" w:hAnsi="Arial" w:cs="Arial"/>
          <w:sz w:val="24"/>
          <w:szCs w:val="24"/>
          <w:lang w:val="es-ES_tradnl" w:eastAsia="es-ES"/>
        </w:rPr>
        <w:t xml:space="preserve"> Las Entidades Territoriales que reconocieron deudas del Régimen Subsidiado de Salud, en el marco del artículo 275 de la Ley 1450 de 2011, y tienen ahorros en este Fondo, podrán adelantar el desahorro en un periodo de hasta doce (12) meses, con el objeto de pagar dichas deudas. Los recursos serán girados por parte de la Agencia Nacional de Hidrocarburos - ANH, o la entidad que haga sus veces, al mecanismo único de recaudo y giro implementado según lo dispuesto en el artículo 31 de la Ley 1438 de 2011, para que desde este mecanismo se giren a las Instituciones Prestadoras de Servicios de Salud.</w:t>
      </w:r>
    </w:p>
    <w:p w:rsidR="007633A2" w:rsidRPr="007633A2" w:rsidRDefault="007633A2" w:rsidP="007633A2">
      <w:pPr>
        <w:shd w:val="clear" w:color="auto" w:fill="FFFFFF"/>
        <w:spacing w:line="360" w:lineRule="auto"/>
        <w:jc w:val="both"/>
        <w:textAlignment w:val="center"/>
        <w:rPr>
          <w:rFonts w:ascii="Arial" w:eastAsia="Times New Roman" w:hAnsi="Arial" w:cs="Arial"/>
          <w:sz w:val="24"/>
          <w:szCs w:val="24"/>
          <w:lang w:eastAsia="es-ES"/>
        </w:rPr>
      </w:pPr>
    </w:p>
    <w:p w:rsidR="007633A2" w:rsidRPr="007633A2" w:rsidRDefault="007633A2" w:rsidP="007633A2">
      <w:pPr>
        <w:shd w:val="clear" w:color="auto" w:fill="FFFFFF"/>
        <w:spacing w:line="360" w:lineRule="auto"/>
        <w:jc w:val="both"/>
        <w:textAlignment w:val="center"/>
        <w:rPr>
          <w:rFonts w:ascii="Arial" w:eastAsia="Times New Roman" w:hAnsi="Arial" w:cs="Arial"/>
          <w:sz w:val="24"/>
          <w:szCs w:val="24"/>
          <w:lang w:eastAsia="es-ES"/>
        </w:rPr>
      </w:pPr>
      <w:r w:rsidRPr="007633A2">
        <w:rPr>
          <w:rFonts w:ascii="Arial" w:eastAsia="Times New Roman" w:hAnsi="Arial" w:cs="Arial"/>
          <w:b/>
          <w:bCs/>
          <w:sz w:val="24"/>
          <w:szCs w:val="24"/>
          <w:lang w:val="es-ES_tradnl" w:eastAsia="es-ES"/>
        </w:rPr>
        <w:t>Artículo 7°. El artículo 50 de la Ley 1438 de 2011 quedará así:</w:t>
      </w:r>
    </w:p>
    <w:p w:rsidR="007633A2" w:rsidRPr="007633A2" w:rsidRDefault="007633A2" w:rsidP="007633A2">
      <w:pPr>
        <w:shd w:val="clear" w:color="auto" w:fill="FFFFFF"/>
        <w:spacing w:line="360" w:lineRule="auto"/>
        <w:ind w:firstLine="283"/>
        <w:jc w:val="both"/>
        <w:textAlignment w:val="center"/>
        <w:rPr>
          <w:rFonts w:ascii="Arial" w:eastAsia="Times New Roman" w:hAnsi="Arial" w:cs="Arial"/>
          <w:sz w:val="24"/>
          <w:szCs w:val="24"/>
          <w:lang w:eastAsia="es-ES"/>
        </w:rPr>
      </w:pPr>
      <w:r w:rsidRPr="007633A2">
        <w:rPr>
          <w:rFonts w:ascii="Arial" w:eastAsia="Times New Roman" w:hAnsi="Arial" w:cs="Arial"/>
          <w:b/>
          <w:bCs/>
          <w:sz w:val="24"/>
          <w:szCs w:val="24"/>
          <w:lang w:val="es-ES_tradnl" w:eastAsia="es-ES"/>
        </w:rPr>
        <w:t>Artículo 50. FONDO DE SALVAMENTO Y GARANTÍAS PARA EL SECTOR SALUD (FONSAET).</w:t>
      </w:r>
      <w:r w:rsidRPr="007633A2">
        <w:rPr>
          <w:rFonts w:ascii="Arial" w:eastAsia="Times New Roman" w:hAnsi="Arial" w:cs="Arial"/>
          <w:sz w:val="24"/>
          <w:szCs w:val="24"/>
          <w:lang w:val="es-ES_tradnl" w:eastAsia="es-ES"/>
        </w:rPr>
        <w:t xml:space="preserve"> Créase el Fondo de Garantías para el sector Salud -FONSAET- como un fondo cuenta sin personería jurídica administrado por el Ministerio de Salud y Protección Social, cuyo objeto será asegurar el pago de las obligaciones por parte de las Empresas Sociales del Estado que se encuentren en riesgo alto o medio conforme a lo previsto en el artículo 80 de esta ley o que se encuentren intervenidas para administrar o liquidar por parte de la Superintendencia Nacional de Salud y las que adopten los programas de saneamiento fiscal y financiero con acompañamiento de la Nación.         El Ministerio de Salud y Protección Social determinará el porcentaje del gasto operacional y pasivos que se financiarán con cargo a dicho Fondo.</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 xml:space="preserve">Para financiar este fondo se destinarán los siguientes recursos: hasta el 10% de los recursos que se transfieren para oferta con recursos del Sistema General de Participaciones para Salud y los excedentes de los recursos </w:t>
      </w:r>
      <w:r w:rsidRPr="007633A2">
        <w:rPr>
          <w:rFonts w:ascii="Arial" w:eastAsia="Times New Roman" w:hAnsi="Arial" w:cs="Arial"/>
          <w:sz w:val="24"/>
          <w:szCs w:val="24"/>
          <w:lang w:val="es-ES_tradnl" w:eastAsia="es-ES"/>
        </w:rPr>
        <w:lastRenderedPageBreak/>
        <w:t>destinados para salud de la Ley 1393 de 2010, que sea recaudado directamente por la Nación. Este fondo podrá comprar o comercializar la cartera de las Instituciones Prestadoras de Servicios de Salud Públicas, independiente del riesgo financiero en el que se encuentre la Institución. . La compra de cartera de las EPS no exonerará su responsabilidad administrativa y financiera frente a la deuda comprada y el fondo exigirá garantía real para soportar la deuda.</w:t>
      </w:r>
    </w:p>
    <w:p w:rsidR="007633A2" w:rsidRPr="007633A2" w:rsidRDefault="007633A2" w:rsidP="007633A2">
      <w:pPr>
        <w:shd w:val="clear" w:color="auto" w:fill="FFFFFF"/>
        <w:spacing w:line="360" w:lineRule="auto"/>
        <w:ind w:firstLine="283"/>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Para los anteriores efectos, los términos y condiciones para la administración del fondo los establecerá el Gobierno Nacional</w:t>
      </w:r>
    </w:p>
    <w:p w:rsidR="007633A2" w:rsidRPr="007633A2" w:rsidRDefault="007633A2" w:rsidP="007633A2">
      <w:pPr>
        <w:shd w:val="clear" w:color="auto" w:fill="FFFFFF"/>
        <w:spacing w:line="360" w:lineRule="auto"/>
        <w:ind w:firstLine="283"/>
        <w:jc w:val="both"/>
        <w:textAlignment w:val="center"/>
        <w:rPr>
          <w:rFonts w:ascii="Arial" w:eastAsia="Times New Roman" w:hAnsi="Arial" w:cs="Arial"/>
          <w:sz w:val="24"/>
          <w:szCs w:val="24"/>
          <w:lang w:eastAsia="es-ES"/>
        </w:rPr>
      </w:pPr>
      <w:r w:rsidRPr="007633A2">
        <w:rPr>
          <w:rFonts w:ascii="Arial" w:eastAsia="Times New Roman" w:hAnsi="Arial" w:cs="Arial"/>
          <w:b/>
          <w:bCs/>
          <w:sz w:val="24"/>
          <w:szCs w:val="24"/>
          <w:lang w:val="es-ES_tradnl" w:eastAsia="es-ES"/>
        </w:rPr>
        <w:t>Parágrafo 1°.</w:t>
      </w:r>
      <w:r w:rsidRPr="007633A2">
        <w:rPr>
          <w:rFonts w:ascii="Arial" w:eastAsia="Times New Roman" w:hAnsi="Arial" w:cs="Arial"/>
          <w:sz w:val="24"/>
          <w:szCs w:val="24"/>
          <w:lang w:val="es-ES_tradnl" w:eastAsia="es-ES"/>
        </w:rPr>
        <w:t xml:space="preserve"> La facturación de las Entidades Promotoras de Salud y las Instituciones Prestadoras de Salud deberá ajustarse en todos los aspectos a los requisitos fijados por el Estatuto Tributario y la Ley 1231 de 2008.</w:t>
      </w:r>
    </w:p>
    <w:p w:rsidR="007633A2" w:rsidRPr="007633A2" w:rsidRDefault="007633A2" w:rsidP="007633A2">
      <w:pPr>
        <w:shd w:val="clear" w:color="auto" w:fill="FFFFFF"/>
        <w:spacing w:line="360" w:lineRule="auto"/>
        <w:ind w:firstLine="283"/>
        <w:jc w:val="both"/>
        <w:textAlignment w:val="center"/>
        <w:rPr>
          <w:rFonts w:ascii="Arial" w:eastAsia="Times New Roman" w:hAnsi="Arial" w:cs="Arial"/>
          <w:sz w:val="24"/>
          <w:szCs w:val="24"/>
          <w:lang w:eastAsia="es-ES"/>
        </w:rPr>
      </w:pPr>
      <w:r w:rsidRPr="007633A2">
        <w:rPr>
          <w:rFonts w:ascii="Arial" w:eastAsia="Times New Roman" w:hAnsi="Arial" w:cs="Arial"/>
          <w:b/>
          <w:bCs/>
          <w:sz w:val="24"/>
          <w:szCs w:val="24"/>
          <w:lang w:val="es-ES_tradnl" w:eastAsia="es-ES"/>
        </w:rPr>
        <w:t>Parágrafo 2°.</w:t>
      </w:r>
      <w:r w:rsidRPr="007633A2">
        <w:rPr>
          <w:rFonts w:ascii="Arial" w:eastAsia="Times New Roman" w:hAnsi="Arial" w:cs="Arial"/>
          <w:sz w:val="24"/>
          <w:szCs w:val="24"/>
          <w:lang w:val="es-ES_tradnl" w:eastAsia="es-ES"/>
        </w:rPr>
        <w:t xml:space="preserve"> Tendrán prelación para acceder a los recursos que trata el presente artículo las Empresas Sociales del Estado que no hayan recibido recursos con anterioridad de este Fondo.</w:t>
      </w:r>
    </w:p>
    <w:p w:rsidR="007633A2" w:rsidRPr="007633A2" w:rsidRDefault="007633A2" w:rsidP="007633A2">
      <w:pPr>
        <w:shd w:val="clear" w:color="auto" w:fill="FFFFFF"/>
        <w:spacing w:line="360" w:lineRule="auto"/>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En todo caso, el pago de la operación, por parte de las Entidades Promotoras de Salud, deberá darse en un término máximo de un (1) año.</w:t>
      </w:r>
    </w:p>
    <w:p w:rsidR="007633A2" w:rsidRPr="007633A2" w:rsidRDefault="007633A2" w:rsidP="007633A2">
      <w:pPr>
        <w:shd w:val="clear" w:color="auto" w:fill="FFFFFF"/>
        <w:spacing w:line="360" w:lineRule="auto"/>
        <w:jc w:val="both"/>
        <w:textAlignment w:val="center"/>
        <w:rPr>
          <w:rFonts w:ascii="Arial" w:eastAsia="Times New Roman" w:hAnsi="Arial" w:cs="Arial"/>
          <w:sz w:val="24"/>
          <w:szCs w:val="24"/>
          <w:lang w:eastAsia="es-ES"/>
        </w:rPr>
      </w:pPr>
    </w:p>
    <w:p w:rsidR="007633A2" w:rsidRPr="007633A2" w:rsidRDefault="007633A2" w:rsidP="007633A2">
      <w:pPr>
        <w:shd w:val="clear" w:color="auto" w:fill="FFFFFF"/>
        <w:spacing w:line="360" w:lineRule="auto"/>
        <w:jc w:val="both"/>
        <w:textAlignment w:val="center"/>
        <w:rPr>
          <w:rFonts w:ascii="Arial" w:eastAsia="Times New Roman" w:hAnsi="Arial" w:cs="Arial"/>
          <w:sz w:val="24"/>
          <w:szCs w:val="24"/>
          <w:lang w:eastAsia="es-ES"/>
        </w:rPr>
      </w:pPr>
      <w:r w:rsidRPr="007633A2">
        <w:rPr>
          <w:rFonts w:ascii="Arial" w:eastAsia="Times New Roman" w:hAnsi="Arial" w:cs="Arial"/>
          <w:b/>
          <w:bCs/>
          <w:sz w:val="24"/>
          <w:szCs w:val="24"/>
          <w:lang w:val="es-ES_tradnl" w:eastAsia="es-ES"/>
        </w:rPr>
        <w:t xml:space="preserve">Artículo 8°. </w:t>
      </w:r>
      <w:r w:rsidRPr="007633A2">
        <w:rPr>
          <w:rFonts w:ascii="Arial" w:eastAsia="Times New Roman" w:hAnsi="Arial" w:cs="Arial"/>
          <w:b/>
          <w:bCs/>
          <w:i/>
          <w:iCs/>
          <w:sz w:val="24"/>
          <w:szCs w:val="24"/>
          <w:lang w:val="es-ES_tradnl" w:eastAsia="es-ES"/>
        </w:rPr>
        <w:t>Programas de saneamiento y fortalecimiento de Empresas Sociales del Estado</w:t>
      </w:r>
      <w:r w:rsidRPr="007633A2">
        <w:rPr>
          <w:rFonts w:ascii="Arial" w:eastAsia="Times New Roman" w:hAnsi="Arial" w:cs="Arial"/>
          <w:i/>
          <w:iCs/>
          <w:sz w:val="24"/>
          <w:szCs w:val="24"/>
          <w:lang w:val="es-ES_tradnl" w:eastAsia="es-ES"/>
        </w:rPr>
        <w:t>.</w:t>
      </w:r>
      <w:r w:rsidRPr="007633A2">
        <w:rPr>
          <w:rFonts w:ascii="Arial" w:eastAsia="Times New Roman" w:hAnsi="Arial" w:cs="Arial"/>
          <w:sz w:val="24"/>
          <w:szCs w:val="24"/>
          <w:lang w:val="es-ES_tradnl" w:eastAsia="es-ES"/>
        </w:rPr>
        <w:t xml:space="preserve"> Se entiende por Programa de Saneamiento Fiscal y Financiero de Empresas Sociales del Estado, un programa integral, institucional, financiero y administrativo que cubre la Empresa Social del Estado, que tiene por objeto restablecer su solidez económica y financiera de estas Empresas, con el propósito de asegurar la continuidad en la prestación del servicio público de salud.</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El Programa de Saneamiento Fiscal y Financiero deberá contener medidas de reorganización administrativa, racionalización del gasto, restructuración de la deuda, saneamiento de pasivos y fortalecimiento de los ingresos de las Empresas Sociales del Estado; que permitan su adecuada operación, con el fin de garantizar el acceso, oportunidad, continuidad y calidad en la prestación de los servicios de salud a la población usuaria.</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 xml:space="preserve">Las Empresas Sociales del Estado que de acuerdo con las evaluaciones realizadas por el Ministerio de Hacienda y Crédito Público, incumplan el programa de saneamiento fiscal y financiero, deberán iniciar ante este mismo </w:t>
      </w:r>
      <w:r w:rsidRPr="007633A2">
        <w:rPr>
          <w:rFonts w:ascii="Arial" w:eastAsia="Times New Roman" w:hAnsi="Arial" w:cs="Arial"/>
          <w:sz w:val="24"/>
          <w:szCs w:val="24"/>
          <w:lang w:val="es-ES_tradnl" w:eastAsia="es-ES"/>
        </w:rPr>
        <w:lastRenderedPageBreak/>
        <w:t>Ministerio, la promoción de acuerdo de reestructuración de pasivos cuando del análisis de la situación de la Empresa Social del Estado se identifique la capacidad de generar ingresos suficientes para el pago de sus compromisos corrientes y el pago de sus acreencias. La nominación y promoción de los acuerdos de reestructuración de pasivos adelantados por las Empresas Sociales del Estado, estarán a cargo del Ministerio de Hacienda y Crédito Público.</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Los recursos que destine la Nación o los que en la presente ley se posibilitan para el saneamiento fiscal y financiero y la reorganización de Instituciones Prestadoras de Servicios de Salud, se enmarcarán en lo aquí definido.</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b/>
          <w:bCs/>
          <w:sz w:val="24"/>
          <w:szCs w:val="24"/>
          <w:lang w:val="es-ES_tradnl" w:eastAsia="es-ES"/>
        </w:rPr>
        <w:t>Parágrafo</w:t>
      </w:r>
      <w:r w:rsidRPr="007633A2">
        <w:rPr>
          <w:rFonts w:ascii="Arial" w:eastAsia="Times New Roman" w:hAnsi="Arial" w:cs="Arial"/>
          <w:sz w:val="24"/>
          <w:szCs w:val="24"/>
          <w:lang w:val="es-ES_tradnl" w:eastAsia="es-ES"/>
        </w:rPr>
        <w:t>. Los parámetros generales de contenidos, seguimiento y evaluación de los programas a que hace referencia este artículo se determinarán por parte del Ministerio de Hacienda y Crédito Público, con concepto del Ministerio de Salud y Protección Social. Estos parámetros deberán contener aspectos financieros, administrativos, institucionales y jurídicos.</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En todo caso, la viabilidad, monitoreo, seguimiento y evaluación de los planes de desempeño estará a cargo del Ministerio de Hacienda y Crédito Público.</w:t>
      </w:r>
    </w:p>
    <w:p w:rsidR="007633A2" w:rsidRPr="007633A2" w:rsidRDefault="007633A2" w:rsidP="007633A2">
      <w:pPr>
        <w:shd w:val="clear" w:color="auto" w:fill="FFFFFF"/>
        <w:spacing w:line="360" w:lineRule="auto"/>
        <w:jc w:val="both"/>
        <w:textAlignment w:val="center"/>
        <w:rPr>
          <w:rFonts w:ascii="Arial" w:eastAsia="Times New Roman" w:hAnsi="Arial" w:cs="Arial"/>
          <w:sz w:val="24"/>
          <w:szCs w:val="24"/>
          <w:lang w:eastAsia="es-ES"/>
        </w:rPr>
      </w:pPr>
    </w:p>
    <w:p w:rsidR="007633A2" w:rsidRPr="007633A2" w:rsidRDefault="007633A2" w:rsidP="007633A2">
      <w:pPr>
        <w:shd w:val="clear" w:color="auto" w:fill="FFFFFF"/>
        <w:spacing w:line="360" w:lineRule="auto"/>
        <w:jc w:val="both"/>
        <w:textAlignment w:val="center"/>
        <w:rPr>
          <w:rFonts w:ascii="Arial" w:eastAsia="Times New Roman" w:hAnsi="Arial" w:cs="Arial"/>
          <w:sz w:val="24"/>
          <w:szCs w:val="24"/>
          <w:lang w:eastAsia="es-ES"/>
        </w:rPr>
      </w:pPr>
      <w:r w:rsidRPr="007633A2">
        <w:rPr>
          <w:rFonts w:ascii="Arial" w:eastAsia="Times New Roman" w:hAnsi="Arial" w:cs="Arial"/>
          <w:b/>
          <w:bCs/>
          <w:sz w:val="24"/>
          <w:szCs w:val="24"/>
          <w:lang w:val="es-ES_tradnl" w:eastAsia="es-ES"/>
        </w:rPr>
        <w:t xml:space="preserve">Artículo 9°. </w:t>
      </w:r>
      <w:r w:rsidRPr="007633A2">
        <w:rPr>
          <w:rFonts w:ascii="Arial" w:eastAsia="Times New Roman" w:hAnsi="Arial" w:cs="Arial"/>
          <w:b/>
          <w:bCs/>
          <w:i/>
          <w:iCs/>
          <w:sz w:val="24"/>
          <w:szCs w:val="24"/>
          <w:lang w:val="es-ES_tradnl" w:eastAsia="es-ES"/>
        </w:rPr>
        <w:t>Recursos de la Subcuenta de Garantías para la Salud del FOSYGA</w:t>
      </w:r>
      <w:r w:rsidRPr="007633A2">
        <w:rPr>
          <w:rFonts w:ascii="Arial" w:eastAsia="Times New Roman" w:hAnsi="Arial" w:cs="Arial"/>
          <w:b/>
          <w:bCs/>
          <w:sz w:val="24"/>
          <w:szCs w:val="24"/>
          <w:lang w:val="es-ES_tradnl" w:eastAsia="es-ES"/>
        </w:rPr>
        <w:t>.</w:t>
      </w:r>
      <w:r w:rsidRPr="007633A2">
        <w:rPr>
          <w:rFonts w:ascii="Arial" w:eastAsia="Times New Roman" w:hAnsi="Arial" w:cs="Arial"/>
          <w:sz w:val="24"/>
          <w:szCs w:val="24"/>
          <w:lang w:val="es-ES_tradnl" w:eastAsia="es-ES"/>
        </w:rPr>
        <w:t xml:space="preserve"> Los recursos de la Subcuenta de Garantías para la salud, además de los usos previstos en el artículo 41 del Decreto 4107 de 2011, se podrán utilizar para adelantar desde la Subcuenta de Garantías para la Salud, de manera directa, compra de cartera reconocida de Instituciones Prestadoras de Servicios de Salud con Empresas Promotoras de Salud. En este caso, la recuperación de cartera podrá darse a través de descuentos de los recursos que a cualquier título, el FOSYGA o el mecanismo único de recaudo y giro creado en virtud del artículo 31 de la Ley 1438 de 2011, efectúen a las EPS.</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En todo caso, el pago de la operación por parte de las Entidades Promotoras de Salud, deberá darse en un término máximo de un (1) año.</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b/>
          <w:bCs/>
          <w:sz w:val="24"/>
          <w:szCs w:val="24"/>
          <w:lang w:val="es-ES_tradnl" w:eastAsia="es-ES"/>
        </w:rPr>
        <w:t>Parágrafo.</w:t>
      </w:r>
      <w:r w:rsidRPr="007633A2">
        <w:rPr>
          <w:rFonts w:ascii="Arial" w:eastAsia="Times New Roman" w:hAnsi="Arial" w:cs="Arial"/>
          <w:sz w:val="24"/>
          <w:szCs w:val="24"/>
          <w:lang w:val="es-ES_tradnl" w:eastAsia="es-ES"/>
        </w:rPr>
        <w:t xml:space="preserve"> El Ministerio de Salud y Protección Social reglamentará el procedimiento para implementar lo dispuesto en este artículo.</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p>
    <w:p w:rsidR="007633A2" w:rsidRPr="007633A2" w:rsidRDefault="007633A2" w:rsidP="007633A2">
      <w:pPr>
        <w:shd w:val="clear" w:color="auto" w:fill="FFFFFF"/>
        <w:spacing w:line="360" w:lineRule="auto"/>
        <w:jc w:val="both"/>
        <w:textAlignment w:val="center"/>
        <w:rPr>
          <w:rFonts w:ascii="Arial" w:eastAsia="Times New Roman" w:hAnsi="Arial" w:cs="Arial"/>
          <w:sz w:val="24"/>
          <w:szCs w:val="24"/>
          <w:lang w:eastAsia="es-ES"/>
        </w:rPr>
      </w:pPr>
      <w:r w:rsidRPr="007633A2">
        <w:rPr>
          <w:rFonts w:ascii="Arial" w:eastAsia="Times New Roman" w:hAnsi="Arial" w:cs="Arial"/>
          <w:b/>
          <w:bCs/>
          <w:sz w:val="24"/>
          <w:szCs w:val="24"/>
          <w:lang w:val="es-ES_tradnl" w:eastAsia="es-ES"/>
        </w:rPr>
        <w:t xml:space="preserve">Artículo 10. </w:t>
      </w:r>
      <w:r w:rsidRPr="007633A2">
        <w:rPr>
          <w:rFonts w:ascii="Arial" w:eastAsia="Times New Roman" w:hAnsi="Arial" w:cs="Arial"/>
          <w:b/>
          <w:bCs/>
          <w:i/>
          <w:iCs/>
          <w:sz w:val="24"/>
          <w:szCs w:val="24"/>
          <w:lang w:val="es-ES_tradnl" w:eastAsia="es-ES"/>
        </w:rPr>
        <w:t>Giro directo de EPS en medidas de vigilancia especial, intervenidas o en liquidación</w:t>
      </w:r>
      <w:r w:rsidRPr="007633A2">
        <w:rPr>
          <w:rFonts w:ascii="Arial" w:eastAsia="Times New Roman" w:hAnsi="Arial" w:cs="Arial"/>
          <w:sz w:val="24"/>
          <w:szCs w:val="24"/>
          <w:lang w:val="es-ES_tradnl" w:eastAsia="es-ES"/>
        </w:rPr>
        <w:t>. Las Entidades Promotoras de Salud, que se encuentren en medida de vigilancia especial, intervención o liquidación por parte del organismo de control y vigilancia competente, girarán como mínimo el 80% de las Unidades de Pago por Capitación reconocidas, a las Instituciones Prestadoras de Servicios de Salud, directamente desde el FOSYGA o desde el mecanismo de recaudo o giro creado en desarrollo del artículo 31 de la Ley 1438 de 2011.</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El giro directo en el caso del Régimen Contributivo, se hará una vez se reglamente por el Gobierno Nacional el procedimiento que corresponda.</w:t>
      </w:r>
    </w:p>
    <w:p w:rsidR="007633A2" w:rsidRPr="007633A2" w:rsidRDefault="007633A2" w:rsidP="007633A2">
      <w:pPr>
        <w:shd w:val="clear" w:color="auto" w:fill="FFFFFF"/>
        <w:spacing w:line="360" w:lineRule="auto"/>
        <w:jc w:val="both"/>
        <w:textAlignment w:val="center"/>
        <w:rPr>
          <w:rFonts w:ascii="Arial" w:eastAsia="Times New Roman" w:hAnsi="Arial" w:cs="Arial"/>
          <w:sz w:val="24"/>
          <w:szCs w:val="24"/>
          <w:lang w:eastAsia="es-ES"/>
        </w:rPr>
      </w:pPr>
    </w:p>
    <w:p w:rsidR="007633A2" w:rsidRPr="007633A2" w:rsidRDefault="007633A2" w:rsidP="007633A2">
      <w:pPr>
        <w:shd w:val="clear" w:color="auto" w:fill="FFFFFF"/>
        <w:spacing w:line="360" w:lineRule="auto"/>
        <w:jc w:val="both"/>
        <w:rPr>
          <w:rFonts w:ascii="Arial" w:eastAsia="Times New Roman" w:hAnsi="Arial" w:cs="Arial"/>
          <w:sz w:val="24"/>
          <w:szCs w:val="24"/>
          <w:lang w:eastAsia="es-ES"/>
        </w:rPr>
      </w:pPr>
      <w:r w:rsidRPr="007633A2">
        <w:rPr>
          <w:rFonts w:ascii="Arial" w:eastAsia="Times New Roman" w:hAnsi="Arial" w:cs="Arial"/>
          <w:b/>
          <w:bCs/>
          <w:sz w:val="24"/>
          <w:szCs w:val="24"/>
          <w:lang w:eastAsia="es-ES"/>
        </w:rPr>
        <w:t xml:space="preserve">Artículo 11. </w:t>
      </w:r>
      <w:r w:rsidRPr="007633A2">
        <w:rPr>
          <w:rFonts w:ascii="Arial" w:eastAsia="Times New Roman" w:hAnsi="Arial" w:cs="Arial"/>
          <w:sz w:val="24"/>
          <w:szCs w:val="24"/>
          <w:lang w:eastAsia="es-ES"/>
        </w:rPr>
        <w:t>Las EPS del Régimen Subsidiado que adeuden a las Entidades Territoriales recursos derivados de la liquidación de contratos del régimen subsidiado de salud, deberán reintegrarlos a la Entidad Territorial en un plazo máximo de 60 días  calendario siguientes a la vigencia de la presente Ley.  De no reintegrarse en este término se podrán practicar descuentos de los giros que a cualquier título realice el FOSYGA. </w:t>
      </w:r>
    </w:p>
    <w:p w:rsidR="007633A2" w:rsidRPr="007633A2" w:rsidRDefault="007633A2" w:rsidP="007633A2">
      <w:pPr>
        <w:shd w:val="clear" w:color="auto" w:fill="FFFFFF"/>
        <w:spacing w:line="360" w:lineRule="auto"/>
        <w:jc w:val="both"/>
        <w:rPr>
          <w:rFonts w:ascii="Arial" w:eastAsia="Times New Roman" w:hAnsi="Arial" w:cs="Arial"/>
          <w:sz w:val="24"/>
          <w:szCs w:val="24"/>
          <w:lang w:eastAsia="es-ES"/>
        </w:rPr>
      </w:pPr>
      <w:r w:rsidRPr="007633A2">
        <w:rPr>
          <w:rFonts w:ascii="Arial" w:eastAsia="Times New Roman" w:hAnsi="Arial" w:cs="Arial"/>
          <w:sz w:val="24"/>
          <w:szCs w:val="24"/>
          <w:lang w:eastAsia="es-ES"/>
        </w:rPr>
        <w:t xml:space="preserve">Los prestadores de servicios de salud y los distintos pagadores del Sistema General de Seguridad Social en Salud, tendrán la obligación de efectuar depuraciones permanentes a la información de los Estados Financieros, de tal forma que se vean reflejados, los pagos y anticipos al recibo de los mismos.  </w:t>
      </w:r>
    </w:p>
    <w:p w:rsidR="007633A2" w:rsidRPr="007633A2" w:rsidRDefault="007633A2" w:rsidP="007633A2">
      <w:pPr>
        <w:shd w:val="clear" w:color="auto" w:fill="FFFFFF"/>
        <w:spacing w:line="360" w:lineRule="auto"/>
        <w:jc w:val="both"/>
        <w:rPr>
          <w:rFonts w:ascii="Arial" w:eastAsia="Times New Roman" w:hAnsi="Arial" w:cs="Arial"/>
          <w:sz w:val="24"/>
          <w:szCs w:val="24"/>
          <w:lang w:eastAsia="es-ES"/>
        </w:rPr>
      </w:pPr>
    </w:p>
    <w:p w:rsidR="007633A2" w:rsidRPr="007633A2" w:rsidRDefault="007633A2" w:rsidP="007633A2">
      <w:pPr>
        <w:shd w:val="clear" w:color="auto" w:fill="FFFFFF"/>
        <w:spacing w:line="360" w:lineRule="auto"/>
        <w:jc w:val="both"/>
        <w:rPr>
          <w:rFonts w:ascii="Arial" w:eastAsia="Times New Roman" w:hAnsi="Arial" w:cs="Arial"/>
          <w:sz w:val="24"/>
          <w:szCs w:val="24"/>
          <w:lang w:eastAsia="es-ES"/>
        </w:rPr>
      </w:pPr>
      <w:r w:rsidRPr="007633A2">
        <w:rPr>
          <w:rFonts w:ascii="Arial" w:eastAsia="Times New Roman" w:hAnsi="Arial" w:cs="Arial"/>
          <w:sz w:val="24"/>
          <w:szCs w:val="24"/>
          <w:lang w:eastAsia="es-ES"/>
        </w:rPr>
        <w:t>Cuando la red de un mismo departamento reporte mora superior a 90 días en los pagos de las EPS, se podrá autorizar giro directo a los prestadores adicional al autorizado por la EPS.   Para la aplicación de esta norma el Gobierno Nacional reglamentará el procedimiento.</w:t>
      </w:r>
    </w:p>
    <w:p w:rsidR="007633A2" w:rsidRPr="007633A2" w:rsidRDefault="007633A2" w:rsidP="007633A2">
      <w:pPr>
        <w:shd w:val="clear" w:color="auto" w:fill="FFFFFF"/>
        <w:jc w:val="both"/>
        <w:rPr>
          <w:rFonts w:ascii="Arial" w:eastAsia="Times New Roman" w:hAnsi="Arial" w:cs="Arial"/>
          <w:sz w:val="24"/>
          <w:szCs w:val="24"/>
          <w:lang w:eastAsia="es-ES"/>
        </w:rPr>
      </w:pPr>
    </w:p>
    <w:p w:rsidR="007633A2" w:rsidRPr="007633A2" w:rsidRDefault="007633A2" w:rsidP="007633A2">
      <w:pPr>
        <w:shd w:val="clear" w:color="auto" w:fill="FFFFFF"/>
        <w:spacing w:line="360" w:lineRule="auto"/>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eastAsia="es-ES"/>
        </w:rPr>
        <w:t xml:space="preserve">En el caso de los recobros y reclamaciones que se realizan al FOSYGA cuya glosa de carácter administrativo hubiese sido notificada con anterioridad a la expedición de la presente Ley, y sobre los cuales no haya operado el término de caducidad de la acción contenciosa administrativa correspondiente, solo se exigirán para su reconocimiento y pago los requisitos esenciales que demuestren la existencia de la respectiva obligación. Las entidades </w:t>
      </w:r>
      <w:r w:rsidRPr="007633A2">
        <w:rPr>
          <w:rFonts w:ascii="Arial" w:eastAsia="Times New Roman" w:hAnsi="Arial" w:cs="Arial"/>
          <w:sz w:val="24"/>
          <w:szCs w:val="24"/>
          <w:lang w:eastAsia="es-ES"/>
        </w:rPr>
        <w:lastRenderedPageBreak/>
        <w:t>recobrantes deberán autorizar el giro directo del valor total que se llegue a aprobar a favor de las Instituciones Prestadoras de Salud habilitadas.  El Ministerio de Salud y Protección Social podrá permitir que los documentos de soporte de los cobros o reclamaciones ante el FOSYGA sean presentados a través de imágenes digitalizadas o de la tecnología que para tal efecto defina dicha entidad.</w:t>
      </w:r>
    </w:p>
    <w:p w:rsidR="007633A2" w:rsidRPr="007633A2" w:rsidRDefault="007633A2" w:rsidP="007633A2">
      <w:pPr>
        <w:shd w:val="clear" w:color="auto" w:fill="FFFFFF"/>
        <w:spacing w:line="360" w:lineRule="auto"/>
        <w:jc w:val="both"/>
        <w:textAlignment w:val="center"/>
        <w:rPr>
          <w:rFonts w:ascii="Arial" w:eastAsia="Times New Roman" w:hAnsi="Arial" w:cs="Arial"/>
          <w:sz w:val="24"/>
          <w:szCs w:val="24"/>
          <w:lang w:eastAsia="es-ES"/>
        </w:rPr>
      </w:pPr>
    </w:p>
    <w:p w:rsidR="007633A2" w:rsidRPr="007633A2" w:rsidRDefault="007633A2" w:rsidP="007633A2">
      <w:pPr>
        <w:shd w:val="clear" w:color="auto" w:fill="FFFFFF"/>
        <w:spacing w:line="360" w:lineRule="auto"/>
        <w:jc w:val="both"/>
        <w:textAlignment w:val="center"/>
        <w:rPr>
          <w:rFonts w:ascii="Arial" w:eastAsia="Times New Roman" w:hAnsi="Arial" w:cs="Arial"/>
          <w:sz w:val="24"/>
          <w:szCs w:val="24"/>
          <w:lang w:eastAsia="es-ES"/>
        </w:rPr>
      </w:pPr>
      <w:r w:rsidRPr="007633A2">
        <w:rPr>
          <w:rFonts w:ascii="Arial" w:eastAsia="Times New Roman" w:hAnsi="Arial" w:cs="Arial"/>
          <w:b/>
          <w:bCs/>
          <w:sz w:val="24"/>
          <w:szCs w:val="24"/>
          <w:lang w:val="es-ES_tradnl" w:eastAsia="es-ES"/>
        </w:rPr>
        <w:t xml:space="preserve">Artículo 12. </w:t>
      </w:r>
      <w:r w:rsidRPr="007633A2">
        <w:rPr>
          <w:rFonts w:ascii="Arial" w:eastAsia="Times New Roman" w:hAnsi="Arial" w:cs="Arial"/>
          <w:b/>
          <w:bCs/>
          <w:i/>
          <w:iCs/>
          <w:sz w:val="24"/>
          <w:szCs w:val="24"/>
          <w:lang w:val="es-ES_tradnl" w:eastAsia="es-ES"/>
        </w:rPr>
        <w:t>Seguimiento y control.</w:t>
      </w:r>
      <w:r w:rsidRPr="007633A2">
        <w:rPr>
          <w:rFonts w:ascii="Arial" w:eastAsia="Times New Roman" w:hAnsi="Arial" w:cs="Arial"/>
          <w:b/>
          <w:bCs/>
          <w:sz w:val="24"/>
          <w:szCs w:val="24"/>
          <w:lang w:val="es-ES_tradnl" w:eastAsia="es-ES"/>
        </w:rPr>
        <w:t xml:space="preserve"> </w:t>
      </w:r>
      <w:r w:rsidRPr="007633A2">
        <w:rPr>
          <w:rFonts w:ascii="Arial" w:eastAsia="Times New Roman" w:hAnsi="Arial" w:cs="Arial"/>
          <w:sz w:val="24"/>
          <w:szCs w:val="24"/>
          <w:lang w:val="es-ES_tradnl" w:eastAsia="es-ES"/>
        </w:rPr>
        <w:t>Para efectos de control del uso adecuado de los recursos a que hace referencia la presente ley, se establece la obligación de reportar al Ministerio de Salud y Protección Social los informes de aplicación y ejecución de dichos recursos en los términos y condiciones que exija este Ministerio, quien a su vez reportará los informes de ejecución a los organismos de inspección, vigilancia y control del sector.</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En el evento que se detecte el inadecuado uso de los recursos de que trata esta ley, la entidad competente deberá ordenar la suspensión en la ejecución de los mismos.</w:t>
      </w:r>
    </w:p>
    <w:p w:rsidR="007633A2" w:rsidRPr="007633A2" w:rsidRDefault="007633A2" w:rsidP="007633A2">
      <w:pPr>
        <w:shd w:val="clear" w:color="auto" w:fill="FFFFFF"/>
        <w:spacing w:line="360" w:lineRule="auto"/>
        <w:ind w:firstLine="709"/>
        <w:jc w:val="both"/>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Las entidades territoriales, Entidades Promotoras de Salud e Instituciones Prestadoras de Servicios de Salud, una vez recibidos los pagos o giros, deberán reflejar en su contabilidad las cuentas por cobrar y pagar debidamente conciliadas y depuradas, de acuerdo con los procedimientos contables definidos en las normas vigentes aplicables a cada entidad.</w:t>
      </w:r>
    </w:p>
    <w:p w:rsidR="007633A2" w:rsidRPr="007633A2" w:rsidRDefault="007633A2" w:rsidP="007633A2">
      <w:pPr>
        <w:shd w:val="clear" w:color="auto" w:fill="FFFFFF"/>
        <w:spacing w:line="360" w:lineRule="auto"/>
        <w:jc w:val="both"/>
        <w:textAlignment w:val="center"/>
        <w:rPr>
          <w:rFonts w:ascii="Arial" w:eastAsia="Times New Roman" w:hAnsi="Arial" w:cs="Arial"/>
          <w:sz w:val="24"/>
          <w:szCs w:val="24"/>
          <w:lang w:eastAsia="es-ES"/>
        </w:rPr>
      </w:pPr>
    </w:p>
    <w:p w:rsidR="007633A2" w:rsidRPr="007633A2" w:rsidRDefault="007633A2" w:rsidP="007633A2">
      <w:pPr>
        <w:shd w:val="clear" w:color="auto" w:fill="FFFFFF"/>
        <w:spacing w:line="360" w:lineRule="auto"/>
        <w:jc w:val="both"/>
        <w:textAlignment w:val="center"/>
        <w:rPr>
          <w:rFonts w:ascii="Arial" w:eastAsia="Times New Roman" w:hAnsi="Arial" w:cs="Arial"/>
          <w:sz w:val="24"/>
          <w:szCs w:val="24"/>
          <w:lang w:eastAsia="es-ES"/>
        </w:rPr>
      </w:pPr>
      <w:r w:rsidRPr="007633A2">
        <w:rPr>
          <w:rFonts w:ascii="Arial" w:eastAsia="Times New Roman" w:hAnsi="Arial" w:cs="Arial"/>
          <w:b/>
          <w:bCs/>
          <w:sz w:val="24"/>
          <w:szCs w:val="24"/>
          <w:lang w:val="es-ES_tradnl" w:eastAsia="es-ES"/>
        </w:rPr>
        <w:t xml:space="preserve">Artículo 13. </w:t>
      </w:r>
      <w:r w:rsidRPr="007633A2">
        <w:rPr>
          <w:rFonts w:ascii="Arial" w:eastAsia="Times New Roman" w:hAnsi="Arial" w:cs="Arial"/>
          <w:b/>
          <w:bCs/>
          <w:i/>
          <w:iCs/>
          <w:sz w:val="24"/>
          <w:szCs w:val="24"/>
          <w:lang w:val="es-ES_tradnl" w:eastAsia="es-ES"/>
        </w:rPr>
        <w:t>Vigencia</w:t>
      </w:r>
      <w:r w:rsidRPr="007633A2">
        <w:rPr>
          <w:rFonts w:ascii="Arial" w:eastAsia="Times New Roman" w:hAnsi="Arial" w:cs="Arial"/>
          <w:b/>
          <w:bCs/>
          <w:sz w:val="24"/>
          <w:szCs w:val="24"/>
          <w:lang w:val="es-ES_tradnl" w:eastAsia="es-ES"/>
        </w:rPr>
        <w:t xml:space="preserve">. </w:t>
      </w:r>
      <w:r w:rsidRPr="007633A2">
        <w:rPr>
          <w:rFonts w:ascii="Arial" w:eastAsia="Times New Roman" w:hAnsi="Arial" w:cs="Arial"/>
          <w:sz w:val="24"/>
          <w:szCs w:val="24"/>
          <w:lang w:val="es-ES_tradnl" w:eastAsia="es-ES"/>
        </w:rPr>
        <w:t xml:space="preserve">La presente ley rige a partir de su publicación y deroga las disposiciones que le sean </w:t>
      </w:r>
      <w:proofErr w:type="gramStart"/>
      <w:r w:rsidRPr="007633A2">
        <w:rPr>
          <w:rFonts w:ascii="Arial" w:eastAsia="Times New Roman" w:hAnsi="Arial" w:cs="Arial"/>
          <w:sz w:val="24"/>
          <w:szCs w:val="24"/>
          <w:lang w:val="es-ES_tradnl" w:eastAsia="es-ES"/>
        </w:rPr>
        <w:t>contraria</w:t>
      </w:r>
      <w:proofErr w:type="gramEnd"/>
    </w:p>
    <w:p w:rsidR="007633A2" w:rsidRPr="007633A2" w:rsidRDefault="007633A2" w:rsidP="007633A2">
      <w:pPr>
        <w:shd w:val="clear" w:color="auto" w:fill="FFFFFF"/>
        <w:spacing w:line="360" w:lineRule="auto"/>
        <w:ind w:firstLine="283"/>
        <w:jc w:val="both"/>
        <w:textAlignment w:val="center"/>
        <w:rPr>
          <w:rFonts w:ascii="Arial" w:eastAsia="Times New Roman" w:hAnsi="Arial" w:cs="Arial"/>
          <w:sz w:val="24"/>
          <w:szCs w:val="24"/>
          <w:lang w:eastAsia="es-ES"/>
        </w:rPr>
      </w:pPr>
    </w:p>
    <w:p w:rsidR="007633A2" w:rsidRPr="007633A2" w:rsidRDefault="007633A2" w:rsidP="007633A2">
      <w:pPr>
        <w:shd w:val="clear" w:color="auto" w:fill="FFFFFF"/>
        <w:spacing w:line="360" w:lineRule="auto"/>
        <w:ind w:firstLine="283"/>
        <w:jc w:val="center"/>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Por el honorable Senado de la República,</w:t>
      </w:r>
    </w:p>
    <w:p w:rsidR="007633A2" w:rsidRPr="007633A2" w:rsidRDefault="007633A2" w:rsidP="007633A2">
      <w:pPr>
        <w:shd w:val="clear" w:color="auto" w:fill="FFFFFF"/>
        <w:spacing w:line="360" w:lineRule="auto"/>
        <w:ind w:firstLine="283"/>
        <w:jc w:val="center"/>
        <w:textAlignment w:val="center"/>
        <w:rPr>
          <w:rFonts w:ascii="Arial" w:eastAsia="Times New Roman" w:hAnsi="Arial" w:cs="Arial"/>
          <w:sz w:val="24"/>
          <w:szCs w:val="24"/>
          <w:lang w:eastAsia="es-ES"/>
        </w:rPr>
      </w:pPr>
    </w:p>
    <w:p w:rsidR="007633A2" w:rsidRPr="007633A2" w:rsidRDefault="007633A2" w:rsidP="007633A2">
      <w:pPr>
        <w:shd w:val="clear" w:color="auto" w:fill="FFFFFF"/>
        <w:spacing w:line="360" w:lineRule="auto"/>
        <w:ind w:firstLine="283"/>
        <w:jc w:val="center"/>
        <w:textAlignment w:val="center"/>
        <w:rPr>
          <w:rFonts w:ascii="Arial" w:eastAsia="Times New Roman" w:hAnsi="Arial" w:cs="Arial"/>
          <w:sz w:val="24"/>
          <w:szCs w:val="24"/>
          <w:lang w:eastAsia="es-ES"/>
        </w:rPr>
      </w:pPr>
    </w:p>
    <w:p w:rsidR="007633A2" w:rsidRPr="007633A2" w:rsidRDefault="007633A2" w:rsidP="007633A2">
      <w:pPr>
        <w:shd w:val="clear" w:color="auto" w:fill="FFFFFF"/>
        <w:spacing w:line="360" w:lineRule="auto"/>
        <w:ind w:firstLine="283"/>
        <w:jc w:val="center"/>
        <w:textAlignment w:val="center"/>
        <w:rPr>
          <w:rFonts w:ascii="Arial" w:eastAsia="Times New Roman" w:hAnsi="Arial" w:cs="Arial"/>
          <w:sz w:val="24"/>
          <w:szCs w:val="24"/>
          <w:lang w:eastAsia="es-ES"/>
        </w:rPr>
      </w:pPr>
      <w:r w:rsidRPr="007633A2">
        <w:rPr>
          <w:rFonts w:ascii="Arial" w:eastAsia="Times New Roman" w:hAnsi="Arial" w:cs="Arial"/>
          <w:i/>
          <w:iCs/>
          <w:sz w:val="24"/>
          <w:szCs w:val="24"/>
          <w:lang w:val="es-ES_tradnl" w:eastAsia="es-ES"/>
        </w:rPr>
        <w:t xml:space="preserve">Jorge Ballesteros </w:t>
      </w:r>
      <w:proofErr w:type="spellStart"/>
      <w:r w:rsidRPr="007633A2">
        <w:rPr>
          <w:rFonts w:ascii="Arial" w:eastAsia="Times New Roman" w:hAnsi="Arial" w:cs="Arial"/>
          <w:i/>
          <w:iCs/>
          <w:sz w:val="24"/>
          <w:szCs w:val="24"/>
          <w:lang w:val="es-ES_tradnl" w:eastAsia="es-ES"/>
        </w:rPr>
        <w:t>Bernier</w:t>
      </w:r>
      <w:proofErr w:type="spellEnd"/>
      <w:r w:rsidRPr="007633A2">
        <w:rPr>
          <w:rFonts w:ascii="Arial" w:eastAsia="Times New Roman" w:hAnsi="Arial" w:cs="Arial"/>
          <w:i/>
          <w:iCs/>
          <w:sz w:val="24"/>
          <w:szCs w:val="24"/>
          <w:lang w:val="es-ES_tradnl" w:eastAsia="es-ES"/>
        </w:rPr>
        <w:t>,</w:t>
      </w:r>
    </w:p>
    <w:p w:rsidR="007633A2" w:rsidRPr="007633A2" w:rsidRDefault="007633A2" w:rsidP="007633A2">
      <w:pPr>
        <w:shd w:val="clear" w:color="auto" w:fill="FFFFFF"/>
        <w:spacing w:line="360" w:lineRule="auto"/>
        <w:ind w:firstLine="283"/>
        <w:jc w:val="center"/>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Senador de la República.</w:t>
      </w:r>
    </w:p>
    <w:p w:rsidR="007633A2" w:rsidRPr="007633A2" w:rsidRDefault="007633A2" w:rsidP="007633A2">
      <w:pPr>
        <w:shd w:val="clear" w:color="auto" w:fill="FFFFFF"/>
        <w:spacing w:line="360" w:lineRule="auto"/>
        <w:ind w:firstLine="283"/>
        <w:jc w:val="center"/>
        <w:textAlignment w:val="center"/>
        <w:rPr>
          <w:rFonts w:ascii="Arial" w:eastAsia="Times New Roman" w:hAnsi="Arial" w:cs="Arial"/>
          <w:sz w:val="24"/>
          <w:szCs w:val="24"/>
          <w:lang w:eastAsia="es-ES"/>
        </w:rPr>
      </w:pPr>
    </w:p>
    <w:p w:rsidR="007633A2" w:rsidRPr="007633A2" w:rsidRDefault="007633A2" w:rsidP="007633A2">
      <w:pPr>
        <w:shd w:val="clear" w:color="auto" w:fill="FFFFFF"/>
        <w:spacing w:line="360" w:lineRule="auto"/>
        <w:ind w:firstLine="283"/>
        <w:jc w:val="center"/>
        <w:textAlignment w:val="center"/>
        <w:rPr>
          <w:rFonts w:ascii="Arial" w:eastAsia="Times New Roman" w:hAnsi="Arial" w:cs="Arial"/>
          <w:sz w:val="24"/>
          <w:szCs w:val="24"/>
          <w:lang w:eastAsia="es-ES"/>
        </w:rPr>
      </w:pPr>
    </w:p>
    <w:p w:rsidR="007633A2" w:rsidRPr="007633A2" w:rsidRDefault="007633A2" w:rsidP="007633A2">
      <w:pPr>
        <w:shd w:val="clear" w:color="auto" w:fill="FFFFFF"/>
        <w:spacing w:line="360" w:lineRule="auto"/>
        <w:ind w:firstLine="283"/>
        <w:jc w:val="center"/>
        <w:textAlignment w:val="center"/>
        <w:rPr>
          <w:rFonts w:ascii="Arial" w:eastAsia="Times New Roman" w:hAnsi="Arial" w:cs="Arial"/>
          <w:sz w:val="24"/>
          <w:szCs w:val="24"/>
          <w:lang w:eastAsia="es-ES"/>
        </w:rPr>
      </w:pPr>
    </w:p>
    <w:p w:rsidR="007633A2" w:rsidRPr="007633A2" w:rsidRDefault="007633A2" w:rsidP="007633A2">
      <w:pPr>
        <w:shd w:val="clear" w:color="auto" w:fill="FFFFFF"/>
        <w:spacing w:line="360" w:lineRule="auto"/>
        <w:ind w:firstLine="283"/>
        <w:jc w:val="center"/>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Guillermo Santos Marín</w:t>
      </w:r>
    </w:p>
    <w:p w:rsidR="007633A2" w:rsidRPr="007633A2" w:rsidRDefault="007633A2" w:rsidP="007633A2">
      <w:pPr>
        <w:shd w:val="clear" w:color="auto" w:fill="FFFFFF"/>
        <w:spacing w:line="360" w:lineRule="auto"/>
        <w:ind w:firstLine="283"/>
        <w:jc w:val="center"/>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lastRenderedPageBreak/>
        <w:t>Senador de la República.</w:t>
      </w:r>
    </w:p>
    <w:p w:rsidR="007633A2" w:rsidRPr="007633A2" w:rsidRDefault="007633A2" w:rsidP="007633A2">
      <w:pPr>
        <w:shd w:val="clear" w:color="auto" w:fill="FFFFFF"/>
        <w:spacing w:line="360" w:lineRule="auto"/>
        <w:ind w:firstLine="283"/>
        <w:jc w:val="center"/>
        <w:textAlignment w:val="center"/>
        <w:rPr>
          <w:rFonts w:ascii="Arial" w:eastAsia="Times New Roman" w:hAnsi="Arial" w:cs="Arial"/>
          <w:sz w:val="24"/>
          <w:szCs w:val="24"/>
          <w:lang w:eastAsia="es-ES"/>
        </w:rPr>
      </w:pPr>
    </w:p>
    <w:p w:rsidR="007633A2" w:rsidRPr="007633A2" w:rsidRDefault="007633A2" w:rsidP="007633A2">
      <w:pPr>
        <w:shd w:val="clear" w:color="auto" w:fill="FFFFFF"/>
        <w:spacing w:line="360" w:lineRule="auto"/>
        <w:ind w:firstLine="283"/>
        <w:jc w:val="center"/>
        <w:textAlignment w:val="center"/>
        <w:rPr>
          <w:rFonts w:ascii="Arial" w:eastAsia="Times New Roman" w:hAnsi="Arial" w:cs="Arial"/>
          <w:sz w:val="24"/>
          <w:szCs w:val="24"/>
          <w:lang w:eastAsia="es-ES"/>
        </w:rPr>
      </w:pPr>
    </w:p>
    <w:p w:rsidR="007633A2" w:rsidRPr="007633A2" w:rsidRDefault="007633A2" w:rsidP="007633A2">
      <w:pPr>
        <w:shd w:val="clear" w:color="auto" w:fill="FFFFFF"/>
        <w:spacing w:line="360" w:lineRule="auto"/>
        <w:ind w:firstLine="283"/>
        <w:jc w:val="center"/>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Por la honorable Cámara de Representantes,</w:t>
      </w:r>
    </w:p>
    <w:p w:rsidR="007633A2" w:rsidRPr="007633A2" w:rsidRDefault="007633A2" w:rsidP="007633A2">
      <w:pPr>
        <w:shd w:val="clear" w:color="auto" w:fill="FFFFFF"/>
        <w:spacing w:line="360" w:lineRule="auto"/>
        <w:ind w:firstLine="283"/>
        <w:jc w:val="center"/>
        <w:textAlignment w:val="center"/>
        <w:rPr>
          <w:rFonts w:ascii="Arial" w:eastAsia="Times New Roman" w:hAnsi="Arial" w:cs="Arial"/>
          <w:sz w:val="24"/>
          <w:szCs w:val="24"/>
          <w:lang w:eastAsia="es-ES"/>
        </w:rPr>
      </w:pPr>
    </w:p>
    <w:p w:rsidR="007633A2" w:rsidRPr="007633A2" w:rsidRDefault="007633A2" w:rsidP="007633A2">
      <w:pPr>
        <w:shd w:val="clear" w:color="auto" w:fill="FFFFFF"/>
        <w:spacing w:line="360" w:lineRule="auto"/>
        <w:ind w:firstLine="283"/>
        <w:jc w:val="center"/>
        <w:textAlignment w:val="center"/>
        <w:rPr>
          <w:rFonts w:ascii="Arial" w:eastAsia="Times New Roman" w:hAnsi="Arial" w:cs="Arial"/>
          <w:sz w:val="24"/>
          <w:szCs w:val="24"/>
          <w:lang w:eastAsia="es-ES"/>
        </w:rPr>
      </w:pPr>
    </w:p>
    <w:p w:rsidR="007633A2" w:rsidRPr="007633A2" w:rsidRDefault="007633A2" w:rsidP="007633A2">
      <w:pPr>
        <w:shd w:val="clear" w:color="auto" w:fill="FFFFFF"/>
        <w:spacing w:line="360" w:lineRule="auto"/>
        <w:ind w:firstLine="283"/>
        <w:jc w:val="center"/>
        <w:textAlignment w:val="center"/>
        <w:rPr>
          <w:rFonts w:ascii="Arial" w:eastAsia="Times New Roman" w:hAnsi="Arial" w:cs="Arial"/>
          <w:sz w:val="24"/>
          <w:szCs w:val="24"/>
          <w:lang w:eastAsia="es-ES"/>
        </w:rPr>
      </w:pPr>
    </w:p>
    <w:p w:rsidR="007633A2" w:rsidRPr="007633A2" w:rsidRDefault="007633A2" w:rsidP="007633A2">
      <w:pPr>
        <w:shd w:val="clear" w:color="auto" w:fill="FFFFFF"/>
        <w:spacing w:line="360" w:lineRule="auto"/>
        <w:ind w:firstLine="283"/>
        <w:jc w:val="center"/>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Marta Cecilia Ramírez Orrego,</w:t>
      </w:r>
    </w:p>
    <w:p w:rsidR="007633A2" w:rsidRPr="007633A2" w:rsidRDefault="007633A2" w:rsidP="007633A2">
      <w:pPr>
        <w:shd w:val="clear" w:color="auto" w:fill="FFFFFF"/>
        <w:spacing w:line="360" w:lineRule="auto"/>
        <w:ind w:firstLine="283"/>
        <w:jc w:val="center"/>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Representante a la Cámara.</w:t>
      </w:r>
    </w:p>
    <w:p w:rsidR="007633A2" w:rsidRPr="007633A2" w:rsidRDefault="007633A2" w:rsidP="007633A2">
      <w:pPr>
        <w:shd w:val="clear" w:color="auto" w:fill="FFFFFF"/>
        <w:spacing w:line="360" w:lineRule="auto"/>
        <w:ind w:firstLine="283"/>
        <w:jc w:val="center"/>
        <w:textAlignment w:val="center"/>
        <w:rPr>
          <w:rFonts w:ascii="Arial" w:eastAsia="Times New Roman" w:hAnsi="Arial" w:cs="Arial"/>
          <w:sz w:val="24"/>
          <w:szCs w:val="24"/>
          <w:lang w:eastAsia="es-ES"/>
        </w:rPr>
      </w:pPr>
      <w:bookmarkStart w:id="0" w:name="_GoBack"/>
      <w:bookmarkEnd w:id="0"/>
    </w:p>
    <w:p w:rsidR="007633A2" w:rsidRPr="007633A2" w:rsidRDefault="007633A2" w:rsidP="007633A2">
      <w:pPr>
        <w:shd w:val="clear" w:color="auto" w:fill="FFFFFF"/>
        <w:spacing w:line="360" w:lineRule="auto"/>
        <w:ind w:firstLine="283"/>
        <w:jc w:val="center"/>
        <w:textAlignment w:val="center"/>
        <w:rPr>
          <w:rFonts w:ascii="Arial" w:eastAsia="Times New Roman" w:hAnsi="Arial" w:cs="Arial"/>
          <w:sz w:val="24"/>
          <w:szCs w:val="24"/>
          <w:lang w:eastAsia="es-ES"/>
        </w:rPr>
      </w:pPr>
    </w:p>
    <w:p w:rsidR="007633A2" w:rsidRPr="007633A2" w:rsidRDefault="007633A2" w:rsidP="007633A2">
      <w:pPr>
        <w:shd w:val="clear" w:color="auto" w:fill="FFFFFF"/>
        <w:spacing w:line="360" w:lineRule="auto"/>
        <w:ind w:firstLine="283"/>
        <w:jc w:val="center"/>
        <w:textAlignment w:val="center"/>
        <w:rPr>
          <w:rFonts w:ascii="Arial" w:eastAsia="Times New Roman" w:hAnsi="Arial" w:cs="Arial"/>
          <w:sz w:val="24"/>
          <w:szCs w:val="24"/>
          <w:lang w:eastAsia="es-ES"/>
        </w:rPr>
      </w:pPr>
    </w:p>
    <w:p w:rsidR="007633A2" w:rsidRPr="007633A2" w:rsidRDefault="007633A2" w:rsidP="007633A2">
      <w:pPr>
        <w:shd w:val="clear" w:color="auto" w:fill="FFFFFF"/>
        <w:spacing w:line="360" w:lineRule="auto"/>
        <w:ind w:firstLine="283"/>
        <w:jc w:val="center"/>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Rafael Romero Piñeros,</w:t>
      </w:r>
    </w:p>
    <w:p w:rsidR="007633A2" w:rsidRPr="007633A2" w:rsidRDefault="007633A2" w:rsidP="007633A2">
      <w:pPr>
        <w:shd w:val="clear" w:color="auto" w:fill="FFFFFF"/>
        <w:spacing w:line="360" w:lineRule="auto"/>
        <w:ind w:firstLine="283"/>
        <w:jc w:val="center"/>
        <w:textAlignment w:val="center"/>
        <w:rPr>
          <w:rFonts w:ascii="Arial" w:eastAsia="Times New Roman" w:hAnsi="Arial" w:cs="Arial"/>
          <w:sz w:val="24"/>
          <w:szCs w:val="24"/>
          <w:lang w:eastAsia="es-ES"/>
        </w:rPr>
      </w:pPr>
      <w:r w:rsidRPr="007633A2">
        <w:rPr>
          <w:rFonts w:ascii="Arial" w:eastAsia="Times New Roman" w:hAnsi="Arial" w:cs="Arial"/>
          <w:sz w:val="24"/>
          <w:szCs w:val="24"/>
          <w:lang w:val="es-ES_tradnl" w:eastAsia="es-ES"/>
        </w:rPr>
        <w:t>Representante a la Cámara.</w:t>
      </w:r>
    </w:p>
    <w:p w:rsidR="007633A2" w:rsidRPr="007633A2" w:rsidRDefault="007633A2" w:rsidP="007633A2">
      <w:pPr>
        <w:spacing w:line="360" w:lineRule="auto"/>
        <w:ind w:firstLine="283"/>
        <w:jc w:val="center"/>
        <w:textAlignment w:val="center"/>
        <w:rPr>
          <w:rFonts w:ascii="Arial" w:eastAsia="Times New Roman" w:hAnsi="Arial" w:cs="Arial"/>
          <w:sz w:val="24"/>
          <w:szCs w:val="24"/>
          <w:lang w:eastAsia="es-ES"/>
        </w:rPr>
      </w:pPr>
    </w:p>
    <w:p w:rsidR="00FC1889" w:rsidRPr="007633A2" w:rsidRDefault="007633A2" w:rsidP="007633A2">
      <w:pPr>
        <w:jc w:val="both"/>
        <w:rPr>
          <w:rFonts w:ascii="Arial" w:hAnsi="Arial" w:cs="Arial"/>
          <w:sz w:val="24"/>
          <w:szCs w:val="24"/>
        </w:rPr>
      </w:pPr>
    </w:p>
    <w:sectPr w:rsidR="00FC1889" w:rsidRPr="007633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A2"/>
    <w:rsid w:val="007633A2"/>
    <w:rsid w:val="00AF4F40"/>
    <w:rsid w:val="00CC0124"/>
    <w:rsid w:val="00DE49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65891">
      <w:bodyDiv w:val="1"/>
      <w:marLeft w:val="0"/>
      <w:marRight w:val="0"/>
      <w:marTop w:val="0"/>
      <w:marBottom w:val="0"/>
      <w:divBdr>
        <w:top w:val="none" w:sz="0" w:space="0" w:color="auto"/>
        <w:left w:val="none" w:sz="0" w:space="0" w:color="auto"/>
        <w:bottom w:val="none" w:sz="0" w:space="0" w:color="auto"/>
        <w:right w:val="none" w:sz="0" w:space="0" w:color="auto"/>
      </w:divBdr>
      <w:divsChild>
        <w:div w:id="818155992">
          <w:marLeft w:val="0"/>
          <w:marRight w:val="0"/>
          <w:marTop w:val="0"/>
          <w:marBottom w:val="0"/>
          <w:divBdr>
            <w:top w:val="none" w:sz="0" w:space="0" w:color="auto"/>
            <w:left w:val="none" w:sz="0" w:space="0" w:color="auto"/>
            <w:bottom w:val="none" w:sz="0" w:space="0" w:color="auto"/>
            <w:right w:val="none" w:sz="0" w:space="0" w:color="auto"/>
          </w:divBdr>
          <w:divsChild>
            <w:div w:id="472021364">
              <w:marLeft w:val="0"/>
              <w:marRight w:val="0"/>
              <w:marTop w:val="0"/>
              <w:marBottom w:val="0"/>
              <w:divBdr>
                <w:top w:val="none" w:sz="0" w:space="0" w:color="auto"/>
                <w:left w:val="none" w:sz="0" w:space="0" w:color="auto"/>
                <w:bottom w:val="none" w:sz="0" w:space="0" w:color="auto"/>
                <w:right w:val="none" w:sz="0" w:space="0" w:color="auto"/>
              </w:divBdr>
            </w:div>
            <w:div w:id="103234794">
              <w:marLeft w:val="0"/>
              <w:marRight w:val="0"/>
              <w:marTop w:val="0"/>
              <w:marBottom w:val="0"/>
              <w:divBdr>
                <w:top w:val="none" w:sz="0" w:space="0" w:color="auto"/>
                <w:left w:val="none" w:sz="0" w:space="0" w:color="auto"/>
                <w:bottom w:val="none" w:sz="0" w:space="0" w:color="auto"/>
                <w:right w:val="none" w:sz="0" w:space="0" w:color="auto"/>
              </w:divBdr>
            </w:div>
            <w:div w:id="1752384898">
              <w:marLeft w:val="0"/>
              <w:marRight w:val="0"/>
              <w:marTop w:val="0"/>
              <w:marBottom w:val="0"/>
              <w:divBdr>
                <w:top w:val="none" w:sz="0" w:space="0" w:color="auto"/>
                <w:left w:val="none" w:sz="0" w:space="0" w:color="auto"/>
                <w:bottom w:val="none" w:sz="0" w:space="0" w:color="auto"/>
                <w:right w:val="none" w:sz="0" w:space="0" w:color="auto"/>
              </w:divBdr>
            </w:div>
            <w:div w:id="385447081">
              <w:marLeft w:val="0"/>
              <w:marRight w:val="0"/>
              <w:marTop w:val="0"/>
              <w:marBottom w:val="0"/>
              <w:divBdr>
                <w:top w:val="none" w:sz="0" w:space="0" w:color="auto"/>
                <w:left w:val="none" w:sz="0" w:space="0" w:color="auto"/>
                <w:bottom w:val="none" w:sz="0" w:space="0" w:color="auto"/>
                <w:right w:val="none" w:sz="0" w:space="0" w:color="auto"/>
              </w:divBdr>
            </w:div>
          </w:divsChild>
        </w:div>
        <w:div w:id="2028093412">
          <w:marLeft w:val="0"/>
          <w:marRight w:val="0"/>
          <w:marTop w:val="0"/>
          <w:marBottom w:val="0"/>
          <w:divBdr>
            <w:top w:val="none" w:sz="0" w:space="0" w:color="auto"/>
            <w:left w:val="none" w:sz="0" w:space="0" w:color="auto"/>
            <w:bottom w:val="none" w:sz="0" w:space="0" w:color="auto"/>
            <w:right w:val="none" w:sz="0" w:space="0" w:color="auto"/>
          </w:divBdr>
          <w:divsChild>
            <w:div w:id="1460218499">
              <w:marLeft w:val="0"/>
              <w:marRight w:val="0"/>
              <w:marTop w:val="0"/>
              <w:marBottom w:val="0"/>
              <w:divBdr>
                <w:top w:val="none" w:sz="0" w:space="0" w:color="auto"/>
                <w:left w:val="none" w:sz="0" w:space="0" w:color="auto"/>
                <w:bottom w:val="none" w:sz="0" w:space="0" w:color="auto"/>
                <w:right w:val="none" w:sz="0" w:space="0" w:color="auto"/>
              </w:divBdr>
              <w:divsChild>
                <w:div w:id="505360636">
                  <w:marLeft w:val="0"/>
                  <w:marRight w:val="0"/>
                  <w:marTop w:val="28"/>
                  <w:marBottom w:val="28"/>
                  <w:divBdr>
                    <w:top w:val="none" w:sz="0" w:space="0" w:color="auto"/>
                    <w:left w:val="none" w:sz="0" w:space="0" w:color="auto"/>
                    <w:bottom w:val="none" w:sz="0" w:space="0" w:color="auto"/>
                    <w:right w:val="none" w:sz="0" w:space="0" w:color="auto"/>
                  </w:divBdr>
                </w:div>
                <w:div w:id="1252741565">
                  <w:marLeft w:val="0"/>
                  <w:marRight w:val="0"/>
                  <w:marTop w:val="28"/>
                  <w:marBottom w:val="28"/>
                  <w:divBdr>
                    <w:top w:val="none" w:sz="0" w:space="0" w:color="auto"/>
                    <w:left w:val="none" w:sz="0" w:space="0" w:color="auto"/>
                    <w:bottom w:val="none" w:sz="0" w:space="0" w:color="auto"/>
                    <w:right w:val="none" w:sz="0" w:space="0" w:color="auto"/>
                  </w:divBdr>
                </w:div>
                <w:div w:id="1666085532">
                  <w:marLeft w:val="0"/>
                  <w:marRight w:val="0"/>
                  <w:marTop w:val="28"/>
                  <w:marBottom w:val="28"/>
                  <w:divBdr>
                    <w:top w:val="none" w:sz="0" w:space="0" w:color="auto"/>
                    <w:left w:val="none" w:sz="0" w:space="0" w:color="auto"/>
                    <w:bottom w:val="none" w:sz="0" w:space="0" w:color="auto"/>
                    <w:right w:val="none" w:sz="0" w:space="0" w:color="auto"/>
                  </w:divBdr>
                </w:div>
                <w:div w:id="2111047439">
                  <w:marLeft w:val="0"/>
                  <w:marRight w:val="0"/>
                  <w:marTop w:val="28"/>
                  <w:marBottom w:val="28"/>
                  <w:divBdr>
                    <w:top w:val="none" w:sz="0" w:space="0" w:color="auto"/>
                    <w:left w:val="none" w:sz="0" w:space="0" w:color="auto"/>
                    <w:bottom w:val="none" w:sz="0" w:space="0" w:color="auto"/>
                    <w:right w:val="none" w:sz="0" w:space="0" w:color="auto"/>
                  </w:divBdr>
                </w:div>
                <w:div w:id="1594514270">
                  <w:marLeft w:val="0"/>
                  <w:marRight w:val="0"/>
                  <w:marTop w:val="0"/>
                  <w:marBottom w:val="0"/>
                  <w:divBdr>
                    <w:top w:val="none" w:sz="0" w:space="0" w:color="auto"/>
                    <w:left w:val="none" w:sz="0" w:space="0" w:color="auto"/>
                    <w:bottom w:val="none" w:sz="0" w:space="0" w:color="auto"/>
                    <w:right w:val="none" w:sz="0" w:space="0" w:color="auto"/>
                  </w:divBdr>
                </w:div>
                <w:div w:id="1324120642">
                  <w:marLeft w:val="0"/>
                  <w:marRight w:val="0"/>
                  <w:marTop w:val="0"/>
                  <w:marBottom w:val="0"/>
                  <w:divBdr>
                    <w:top w:val="none" w:sz="0" w:space="0" w:color="auto"/>
                    <w:left w:val="none" w:sz="0" w:space="0" w:color="auto"/>
                    <w:bottom w:val="none" w:sz="0" w:space="0" w:color="auto"/>
                    <w:right w:val="none" w:sz="0" w:space="0" w:color="auto"/>
                  </w:divBdr>
                </w:div>
                <w:div w:id="1926069127">
                  <w:marLeft w:val="0"/>
                  <w:marRight w:val="0"/>
                  <w:marTop w:val="0"/>
                  <w:marBottom w:val="0"/>
                  <w:divBdr>
                    <w:top w:val="none" w:sz="0" w:space="0" w:color="auto"/>
                    <w:left w:val="none" w:sz="0" w:space="0" w:color="auto"/>
                    <w:bottom w:val="none" w:sz="0" w:space="0" w:color="auto"/>
                    <w:right w:val="none" w:sz="0" w:space="0" w:color="auto"/>
                  </w:divBdr>
                </w:div>
                <w:div w:id="161432712">
                  <w:marLeft w:val="0"/>
                  <w:marRight w:val="0"/>
                  <w:marTop w:val="0"/>
                  <w:marBottom w:val="0"/>
                  <w:divBdr>
                    <w:top w:val="none" w:sz="0" w:space="0" w:color="auto"/>
                    <w:left w:val="none" w:sz="0" w:space="0" w:color="auto"/>
                    <w:bottom w:val="none" w:sz="0" w:space="0" w:color="auto"/>
                    <w:right w:val="none" w:sz="0" w:space="0" w:color="auto"/>
                  </w:divBdr>
                </w:div>
                <w:div w:id="608585076">
                  <w:marLeft w:val="0"/>
                  <w:marRight w:val="0"/>
                  <w:marTop w:val="0"/>
                  <w:marBottom w:val="0"/>
                  <w:divBdr>
                    <w:top w:val="none" w:sz="0" w:space="0" w:color="auto"/>
                    <w:left w:val="none" w:sz="0" w:space="0" w:color="auto"/>
                    <w:bottom w:val="none" w:sz="0" w:space="0" w:color="auto"/>
                    <w:right w:val="none" w:sz="0" w:space="0" w:color="auto"/>
                  </w:divBdr>
                </w:div>
                <w:div w:id="394933169">
                  <w:marLeft w:val="0"/>
                  <w:marRight w:val="0"/>
                  <w:marTop w:val="0"/>
                  <w:marBottom w:val="0"/>
                  <w:divBdr>
                    <w:top w:val="none" w:sz="0" w:space="0" w:color="auto"/>
                    <w:left w:val="none" w:sz="0" w:space="0" w:color="auto"/>
                    <w:bottom w:val="none" w:sz="0" w:space="0" w:color="auto"/>
                    <w:right w:val="none" w:sz="0" w:space="0" w:color="auto"/>
                  </w:divBdr>
                </w:div>
                <w:div w:id="505368919">
                  <w:marLeft w:val="0"/>
                  <w:marRight w:val="0"/>
                  <w:marTop w:val="0"/>
                  <w:marBottom w:val="0"/>
                  <w:divBdr>
                    <w:top w:val="none" w:sz="0" w:space="0" w:color="auto"/>
                    <w:left w:val="none" w:sz="0" w:space="0" w:color="auto"/>
                    <w:bottom w:val="none" w:sz="0" w:space="0" w:color="auto"/>
                    <w:right w:val="none" w:sz="0" w:space="0" w:color="auto"/>
                  </w:divBdr>
                </w:div>
                <w:div w:id="253561007">
                  <w:marLeft w:val="0"/>
                  <w:marRight w:val="0"/>
                  <w:marTop w:val="0"/>
                  <w:marBottom w:val="0"/>
                  <w:divBdr>
                    <w:top w:val="none" w:sz="0" w:space="0" w:color="auto"/>
                    <w:left w:val="none" w:sz="0" w:space="0" w:color="auto"/>
                    <w:bottom w:val="none" w:sz="0" w:space="0" w:color="auto"/>
                    <w:right w:val="none" w:sz="0" w:space="0" w:color="auto"/>
                  </w:divBdr>
                </w:div>
                <w:div w:id="583874938">
                  <w:marLeft w:val="0"/>
                  <w:marRight w:val="0"/>
                  <w:marTop w:val="0"/>
                  <w:marBottom w:val="0"/>
                  <w:divBdr>
                    <w:top w:val="none" w:sz="0" w:space="0" w:color="auto"/>
                    <w:left w:val="none" w:sz="0" w:space="0" w:color="auto"/>
                    <w:bottom w:val="none" w:sz="0" w:space="0" w:color="auto"/>
                    <w:right w:val="none" w:sz="0" w:space="0" w:color="auto"/>
                  </w:divBdr>
                </w:div>
                <w:div w:id="412164902">
                  <w:marLeft w:val="0"/>
                  <w:marRight w:val="0"/>
                  <w:marTop w:val="0"/>
                  <w:marBottom w:val="0"/>
                  <w:divBdr>
                    <w:top w:val="none" w:sz="0" w:space="0" w:color="auto"/>
                    <w:left w:val="none" w:sz="0" w:space="0" w:color="auto"/>
                    <w:bottom w:val="none" w:sz="0" w:space="0" w:color="auto"/>
                    <w:right w:val="none" w:sz="0" w:space="0" w:color="auto"/>
                  </w:divBdr>
                </w:div>
                <w:div w:id="1873806374">
                  <w:marLeft w:val="0"/>
                  <w:marRight w:val="0"/>
                  <w:marTop w:val="0"/>
                  <w:marBottom w:val="0"/>
                  <w:divBdr>
                    <w:top w:val="none" w:sz="0" w:space="0" w:color="auto"/>
                    <w:left w:val="none" w:sz="0" w:space="0" w:color="auto"/>
                    <w:bottom w:val="none" w:sz="0" w:space="0" w:color="auto"/>
                    <w:right w:val="none" w:sz="0" w:space="0" w:color="auto"/>
                  </w:divBdr>
                </w:div>
                <w:div w:id="679430467">
                  <w:marLeft w:val="0"/>
                  <w:marRight w:val="0"/>
                  <w:marTop w:val="0"/>
                  <w:marBottom w:val="0"/>
                  <w:divBdr>
                    <w:top w:val="none" w:sz="0" w:space="0" w:color="auto"/>
                    <w:left w:val="none" w:sz="0" w:space="0" w:color="auto"/>
                    <w:bottom w:val="none" w:sz="0" w:space="0" w:color="auto"/>
                    <w:right w:val="none" w:sz="0" w:space="0" w:color="auto"/>
                  </w:divBdr>
                </w:div>
                <w:div w:id="754016783">
                  <w:marLeft w:val="0"/>
                  <w:marRight w:val="0"/>
                  <w:marTop w:val="0"/>
                  <w:marBottom w:val="0"/>
                  <w:divBdr>
                    <w:top w:val="none" w:sz="0" w:space="0" w:color="auto"/>
                    <w:left w:val="none" w:sz="0" w:space="0" w:color="auto"/>
                    <w:bottom w:val="none" w:sz="0" w:space="0" w:color="auto"/>
                    <w:right w:val="none" w:sz="0" w:space="0" w:color="auto"/>
                  </w:divBdr>
                </w:div>
                <w:div w:id="285045656">
                  <w:marLeft w:val="0"/>
                  <w:marRight w:val="0"/>
                  <w:marTop w:val="0"/>
                  <w:marBottom w:val="0"/>
                  <w:divBdr>
                    <w:top w:val="none" w:sz="0" w:space="0" w:color="auto"/>
                    <w:left w:val="none" w:sz="0" w:space="0" w:color="auto"/>
                    <w:bottom w:val="none" w:sz="0" w:space="0" w:color="auto"/>
                    <w:right w:val="none" w:sz="0" w:space="0" w:color="auto"/>
                  </w:divBdr>
                </w:div>
                <w:div w:id="1046834005">
                  <w:marLeft w:val="0"/>
                  <w:marRight w:val="0"/>
                  <w:marTop w:val="0"/>
                  <w:marBottom w:val="0"/>
                  <w:divBdr>
                    <w:top w:val="none" w:sz="0" w:space="0" w:color="auto"/>
                    <w:left w:val="none" w:sz="0" w:space="0" w:color="auto"/>
                    <w:bottom w:val="none" w:sz="0" w:space="0" w:color="auto"/>
                    <w:right w:val="none" w:sz="0" w:space="0" w:color="auto"/>
                  </w:divBdr>
                </w:div>
                <w:div w:id="1178468875">
                  <w:marLeft w:val="0"/>
                  <w:marRight w:val="0"/>
                  <w:marTop w:val="0"/>
                  <w:marBottom w:val="0"/>
                  <w:divBdr>
                    <w:top w:val="none" w:sz="0" w:space="0" w:color="auto"/>
                    <w:left w:val="none" w:sz="0" w:space="0" w:color="auto"/>
                    <w:bottom w:val="none" w:sz="0" w:space="0" w:color="auto"/>
                    <w:right w:val="none" w:sz="0" w:space="0" w:color="auto"/>
                  </w:divBdr>
                </w:div>
                <w:div w:id="1739741883">
                  <w:marLeft w:val="0"/>
                  <w:marRight w:val="0"/>
                  <w:marTop w:val="0"/>
                  <w:marBottom w:val="0"/>
                  <w:divBdr>
                    <w:top w:val="none" w:sz="0" w:space="0" w:color="auto"/>
                    <w:left w:val="none" w:sz="0" w:space="0" w:color="auto"/>
                    <w:bottom w:val="none" w:sz="0" w:space="0" w:color="auto"/>
                    <w:right w:val="none" w:sz="0" w:space="0" w:color="auto"/>
                  </w:divBdr>
                </w:div>
                <w:div w:id="1403989622">
                  <w:marLeft w:val="0"/>
                  <w:marRight w:val="0"/>
                  <w:marTop w:val="0"/>
                  <w:marBottom w:val="0"/>
                  <w:divBdr>
                    <w:top w:val="none" w:sz="0" w:space="0" w:color="auto"/>
                    <w:left w:val="none" w:sz="0" w:space="0" w:color="auto"/>
                    <w:bottom w:val="none" w:sz="0" w:space="0" w:color="auto"/>
                    <w:right w:val="none" w:sz="0" w:space="0" w:color="auto"/>
                  </w:divBdr>
                </w:div>
                <w:div w:id="1742289304">
                  <w:marLeft w:val="0"/>
                  <w:marRight w:val="0"/>
                  <w:marTop w:val="0"/>
                  <w:marBottom w:val="0"/>
                  <w:divBdr>
                    <w:top w:val="none" w:sz="0" w:space="0" w:color="auto"/>
                    <w:left w:val="none" w:sz="0" w:space="0" w:color="auto"/>
                    <w:bottom w:val="none" w:sz="0" w:space="0" w:color="auto"/>
                    <w:right w:val="none" w:sz="0" w:space="0" w:color="auto"/>
                  </w:divBdr>
                </w:div>
                <w:div w:id="290287841">
                  <w:marLeft w:val="0"/>
                  <w:marRight w:val="0"/>
                  <w:marTop w:val="0"/>
                  <w:marBottom w:val="0"/>
                  <w:divBdr>
                    <w:top w:val="none" w:sz="0" w:space="0" w:color="auto"/>
                    <w:left w:val="none" w:sz="0" w:space="0" w:color="auto"/>
                    <w:bottom w:val="none" w:sz="0" w:space="0" w:color="auto"/>
                    <w:right w:val="none" w:sz="0" w:space="0" w:color="auto"/>
                  </w:divBdr>
                </w:div>
                <w:div w:id="76027822">
                  <w:marLeft w:val="0"/>
                  <w:marRight w:val="0"/>
                  <w:marTop w:val="0"/>
                  <w:marBottom w:val="0"/>
                  <w:divBdr>
                    <w:top w:val="none" w:sz="0" w:space="0" w:color="auto"/>
                    <w:left w:val="none" w:sz="0" w:space="0" w:color="auto"/>
                    <w:bottom w:val="none" w:sz="0" w:space="0" w:color="auto"/>
                    <w:right w:val="none" w:sz="0" w:space="0" w:color="auto"/>
                  </w:divBdr>
                </w:div>
                <w:div w:id="1855269868">
                  <w:marLeft w:val="0"/>
                  <w:marRight w:val="0"/>
                  <w:marTop w:val="0"/>
                  <w:marBottom w:val="0"/>
                  <w:divBdr>
                    <w:top w:val="none" w:sz="0" w:space="0" w:color="auto"/>
                    <w:left w:val="none" w:sz="0" w:space="0" w:color="auto"/>
                    <w:bottom w:val="none" w:sz="0" w:space="0" w:color="auto"/>
                    <w:right w:val="none" w:sz="0" w:space="0" w:color="auto"/>
                  </w:divBdr>
                </w:div>
                <w:div w:id="2130199279">
                  <w:marLeft w:val="0"/>
                  <w:marRight w:val="0"/>
                  <w:marTop w:val="0"/>
                  <w:marBottom w:val="0"/>
                  <w:divBdr>
                    <w:top w:val="none" w:sz="0" w:space="0" w:color="auto"/>
                    <w:left w:val="none" w:sz="0" w:space="0" w:color="auto"/>
                    <w:bottom w:val="none" w:sz="0" w:space="0" w:color="auto"/>
                    <w:right w:val="none" w:sz="0" w:space="0" w:color="auto"/>
                  </w:divBdr>
                </w:div>
                <w:div w:id="1935085760">
                  <w:marLeft w:val="0"/>
                  <w:marRight w:val="0"/>
                  <w:marTop w:val="0"/>
                  <w:marBottom w:val="0"/>
                  <w:divBdr>
                    <w:top w:val="none" w:sz="0" w:space="0" w:color="auto"/>
                    <w:left w:val="none" w:sz="0" w:space="0" w:color="auto"/>
                    <w:bottom w:val="none" w:sz="0" w:space="0" w:color="auto"/>
                    <w:right w:val="none" w:sz="0" w:space="0" w:color="auto"/>
                  </w:divBdr>
                </w:div>
                <w:div w:id="296298595">
                  <w:marLeft w:val="0"/>
                  <w:marRight w:val="0"/>
                  <w:marTop w:val="0"/>
                  <w:marBottom w:val="0"/>
                  <w:divBdr>
                    <w:top w:val="none" w:sz="0" w:space="0" w:color="auto"/>
                    <w:left w:val="none" w:sz="0" w:space="0" w:color="auto"/>
                    <w:bottom w:val="none" w:sz="0" w:space="0" w:color="auto"/>
                    <w:right w:val="none" w:sz="0" w:space="0" w:color="auto"/>
                  </w:divBdr>
                </w:div>
                <w:div w:id="2136631792">
                  <w:marLeft w:val="0"/>
                  <w:marRight w:val="0"/>
                  <w:marTop w:val="0"/>
                  <w:marBottom w:val="0"/>
                  <w:divBdr>
                    <w:top w:val="none" w:sz="0" w:space="0" w:color="auto"/>
                    <w:left w:val="none" w:sz="0" w:space="0" w:color="auto"/>
                    <w:bottom w:val="none" w:sz="0" w:space="0" w:color="auto"/>
                    <w:right w:val="none" w:sz="0" w:space="0" w:color="auto"/>
                  </w:divBdr>
                </w:div>
                <w:div w:id="1039479333">
                  <w:marLeft w:val="0"/>
                  <w:marRight w:val="0"/>
                  <w:marTop w:val="0"/>
                  <w:marBottom w:val="0"/>
                  <w:divBdr>
                    <w:top w:val="none" w:sz="0" w:space="0" w:color="auto"/>
                    <w:left w:val="none" w:sz="0" w:space="0" w:color="auto"/>
                    <w:bottom w:val="none" w:sz="0" w:space="0" w:color="auto"/>
                    <w:right w:val="none" w:sz="0" w:space="0" w:color="auto"/>
                  </w:divBdr>
                </w:div>
                <w:div w:id="978723929">
                  <w:marLeft w:val="0"/>
                  <w:marRight w:val="0"/>
                  <w:marTop w:val="0"/>
                  <w:marBottom w:val="0"/>
                  <w:divBdr>
                    <w:top w:val="none" w:sz="0" w:space="0" w:color="auto"/>
                    <w:left w:val="none" w:sz="0" w:space="0" w:color="auto"/>
                    <w:bottom w:val="none" w:sz="0" w:space="0" w:color="auto"/>
                    <w:right w:val="none" w:sz="0" w:space="0" w:color="auto"/>
                  </w:divBdr>
                </w:div>
                <w:div w:id="1791195493">
                  <w:marLeft w:val="0"/>
                  <w:marRight w:val="0"/>
                  <w:marTop w:val="0"/>
                  <w:marBottom w:val="0"/>
                  <w:divBdr>
                    <w:top w:val="none" w:sz="0" w:space="0" w:color="auto"/>
                    <w:left w:val="none" w:sz="0" w:space="0" w:color="auto"/>
                    <w:bottom w:val="none" w:sz="0" w:space="0" w:color="auto"/>
                    <w:right w:val="none" w:sz="0" w:space="0" w:color="auto"/>
                  </w:divBdr>
                </w:div>
                <w:div w:id="963000924">
                  <w:marLeft w:val="0"/>
                  <w:marRight w:val="0"/>
                  <w:marTop w:val="0"/>
                  <w:marBottom w:val="0"/>
                  <w:divBdr>
                    <w:top w:val="none" w:sz="0" w:space="0" w:color="auto"/>
                    <w:left w:val="none" w:sz="0" w:space="0" w:color="auto"/>
                    <w:bottom w:val="none" w:sz="0" w:space="0" w:color="auto"/>
                    <w:right w:val="none" w:sz="0" w:space="0" w:color="auto"/>
                  </w:divBdr>
                </w:div>
                <w:div w:id="14578372">
                  <w:marLeft w:val="0"/>
                  <w:marRight w:val="0"/>
                  <w:marTop w:val="0"/>
                  <w:marBottom w:val="0"/>
                  <w:divBdr>
                    <w:top w:val="none" w:sz="0" w:space="0" w:color="auto"/>
                    <w:left w:val="none" w:sz="0" w:space="0" w:color="auto"/>
                    <w:bottom w:val="none" w:sz="0" w:space="0" w:color="auto"/>
                    <w:right w:val="none" w:sz="0" w:space="0" w:color="auto"/>
                  </w:divBdr>
                </w:div>
                <w:div w:id="1847012636">
                  <w:marLeft w:val="0"/>
                  <w:marRight w:val="0"/>
                  <w:marTop w:val="0"/>
                  <w:marBottom w:val="0"/>
                  <w:divBdr>
                    <w:top w:val="none" w:sz="0" w:space="0" w:color="auto"/>
                    <w:left w:val="none" w:sz="0" w:space="0" w:color="auto"/>
                    <w:bottom w:val="none" w:sz="0" w:space="0" w:color="auto"/>
                    <w:right w:val="none" w:sz="0" w:space="0" w:color="auto"/>
                  </w:divBdr>
                </w:div>
                <w:div w:id="545029127">
                  <w:marLeft w:val="0"/>
                  <w:marRight w:val="0"/>
                  <w:marTop w:val="0"/>
                  <w:marBottom w:val="0"/>
                  <w:divBdr>
                    <w:top w:val="none" w:sz="0" w:space="0" w:color="auto"/>
                    <w:left w:val="none" w:sz="0" w:space="0" w:color="auto"/>
                    <w:bottom w:val="none" w:sz="0" w:space="0" w:color="auto"/>
                    <w:right w:val="none" w:sz="0" w:space="0" w:color="auto"/>
                  </w:divBdr>
                </w:div>
                <w:div w:id="1266810928">
                  <w:marLeft w:val="0"/>
                  <w:marRight w:val="0"/>
                  <w:marTop w:val="0"/>
                  <w:marBottom w:val="0"/>
                  <w:divBdr>
                    <w:top w:val="none" w:sz="0" w:space="0" w:color="auto"/>
                    <w:left w:val="none" w:sz="0" w:space="0" w:color="auto"/>
                    <w:bottom w:val="none" w:sz="0" w:space="0" w:color="auto"/>
                    <w:right w:val="none" w:sz="0" w:space="0" w:color="auto"/>
                  </w:divBdr>
                </w:div>
                <w:div w:id="890195867">
                  <w:marLeft w:val="0"/>
                  <w:marRight w:val="0"/>
                  <w:marTop w:val="0"/>
                  <w:marBottom w:val="0"/>
                  <w:divBdr>
                    <w:top w:val="none" w:sz="0" w:space="0" w:color="auto"/>
                    <w:left w:val="none" w:sz="0" w:space="0" w:color="auto"/>
                    <w:bottom w:val="none" w:sz="0" w:space="0" w:color="auto"/>
                    <w:right w:val="none" w:sz="0" w:space="0" w:color="auto"/>
                  </w:divBdr>
                </w:div>
                <w:div w:id="245461398">
                  <w:marLeft w:val="0"/>
                  <w:marRight w:val="0"/>
                  <w:marTop w:val="0"/>
                  <w:marBottom w:val="0"/>
                  <w:divBdr>
                    <w:top w:val="none" w:sz="0" w:space="0" w:color="auto"/>
                    <w:left w:val="none" w:sz="0" w:space="0" w:color="auto"/>
                    <w:bottom w:val="none" w:sz="0" w:space="0" w:color="auto"/>
                    <w:right w:val="none" w:sz="0" w:space="0" w:color="auto"/>
                  </w:divBdr>
                </w:div>
                <w:div w:id="626857357">
                  <w:marLeft w:val="0"/>
                  <w:marRight w:val="0"/>
                  <w:marTop w:val="0"/>
                  <w:marBottom w:val="0"/>
                  <w:divBdr>
                    <w:top w:val="none" w:sz="0" w:space="0" w:color="auto"/>
                    <w:left w:val="none" w:sz="0" w:space="0" w:color="auto"/>
                    <w:bottom w:val="none" w:sz="0" w:space="0" w:color="auto"/>
                    <w:right w:val="none" w:sz="0" w:space="0" w:color="auto"/>
                  </w:divBdr>
                </w:div>
                <w:div w:id="1669285018">
                  <w:marLeft w:val="0"/>
                  <w:marRight w:val="0"/>
                  <w:marTop w:val="0"/>
                  <w:marBottom w:val="0"/>
                  <w:divBdr>
                    <w:top w:val="none" w:sz="0" w:space="0" w:color="auto"/>
                    <w:left w:val="none" w:sz="0" w:space="0" w:color="auto"/>
                    <w:bottom w:val="none" w:sz="0" w:space="0" w:color="auto"/>
                    <w:right w:val="none" w:sz="0" w:space="0" w:color="auto"/>
                  </w:divBdr>
                </w:div>
                <w:div w:id="1544437636">
                  <w:marLeft w:val="0"/>
                  <w:marRight w:val="0"/>
                  <w:marTop w:val="0"/>
                  <w:marBottom w:val="0"/>
                  <w:divBdr>
                    <w:top w:val="none" w:sz="0" w:space="0" w:color="auto"/>
                    <w:left w:val="none" w:sz="0" w:space="0" w:color="auto"/>
                    <w:bottom w:val="none" w:sz="0" w:space="0" w:color="auto"/>
                    <w:right w:val="none" w:sz="0" w:space="0" w:color="auto"/>
                  </w:divBdr>
                </w:div>
                <w:div w:id="961958026">
                  <w:marLeft w:val="0"/>
                  <w:marRight w:val="0"/>
                  <w:marTop w:val="0"/>
                  <w:marBottom w:val="0"/>
                  <w:divBdr>
                    <w:top w:val="none" w:sz="0" w:space="0" w:color="auto"/>
                    <w:left w:val="none" w:sz="0" w:space="0" w:color="auto"/>
                    <w:bottom w:val="none" w:sz="0" w:space="0" w:color="auto"/>
                    <w:right w:val="none" w:sz="0" w:space="0" w:color="auto"/>
                  </w:divBdr>
                </w:div>
                <w:div w:id="1383486147">
                  <w:marLeft w:val="0"/>
                  <w:marRight w:val="0"/>
                  <w:marTop w:val="0"/>
                  <w:marBottom w:val="0"/>
                  <w:divBdr>
                    <w:top w:val="none" w:sz="0" w:space="0" w:color="auto"/>
                    <w:left w:val="none" w:sz="0" w:space="0" w:color="auto"/>
                    <w:bottom w:val="none" w:sz="0" w:space="0" w:color="auto"/>
                    <w:right w:val="none" w:sz="0" w:space="0" w:color="auto"/>
                  </w:divBdr>
                </w:div>
                <w:div w:id="564799998">
                  <w:marLeft w:val="0"/>
                  <w:marRight w:val="0"/>
                  <w:marTop w:val="0"/>
                  <w:marBottom w:val="0"/>
                  <w:divBdr>
                    <w:top w:val="none" w:sz="0" w:space="0" w:color="auto"/>
                    <w:left w:val="none" w:sz="0" w:space="0" w:color="auto"/>
                    <w:bottom w:val="none" w:sz="0" w:space="0" w:color="auto"/>
                    <w:right w:val="none" w:sz="0" w:space="0" w:color="auto"/>
                  </w:divBdr>
                </w:div>
                <w:div w:id="169806045">
                  <w:marLeft w:val="0"/>
                  <w:marRight w:val="0"/>
                  <w:marTop w:val="0"/>
                  <w:marBottom w:val="0"/>
                  <w:divBdr>
                    <w:top w:val="none" w:sz="0" w:space="0" w:color="auto"/>
                    <w:left w:val="none" w:sz="0" w:space="0" w:color="auto"/>
                    <w:bottom w:val="none" w:sz="0" w:space="0" w:color="auto"/>
                    <w:right w:val="none" w:sz="0" w:space="0" w:color="auto"/>
                  </w:divBdr>
                </w:div>
                <w:div w:id="1980182">
                  <w:marLeft w:val="0"/>
                  <w:marRight w:val="0"/>
                  <w:marTop w:val="0"/>
                  <w:marBottom w:val="0"/>
                  <w:divBdr>
                    <w:top w:val="none" w:sz="0" w:space="0" w:color="auto"/>
                    <w:left w:val="none" w:sz="0" w:space="0" w:color="auto"/>
                    <w:bottom w:val="none" w:sz="0" w:space="0" w:color="auto"/>
                    <w:right w:val="none" w:sz="0" w:space="0" w:color="auto"/>
                  </w:divBdr>
                </w:div>
                <w:div w:id="1832210908">
                  <w:marLeft w:val="0"/>
                  <w:marRight w:val="0"/>
                  <w:marTop w:val="0"/>
                  <w:marBottom w:val="0"/>
                  <w:divBdr>
                    <w:top w:val="none" w:sz="0" w:space="0" w:color="auto"/>
                    <w:left w:val="none" w:sz="0" w:space="0" w:color="auto"/>
                    <w:bottom w:val="none" w:sz="0" w:space="0" w:color="auto"/>
                    <w:right w:val="none" w:sz="0" w:space="0" w:color="auto"/>
                  </w:divBdr>
                </w:div>
                <w:div w:id="1918440915">
                  <w:marLeft w:val="0"/>
                  <w:marRight w:val="0"/>
                  <w:marTop w:val="0"/>
                  <w:marBottom w:val="0"/>
                  <w:divBdr>
                    <w:top w:val="none" w:sz="0" w:space="0" w:color="auto"/>
                    <w:left w:val="none" w:sz="0" w:space="0" w:color="auto"/>
                    <w:bottom w:val="none" w:sz="0" w:space="0" w:color="auto"/>
                    <w:right w:val="none" w:sz="0" w:space="0" w:color="auto"/>
                  </w:divBdr>
                </w:div>
                <w:div w:id="1364138496">
                  <w:marLeft w:val="0"/>
                  <w:marRight w:val="0"/>
                  <w:marTop w:val="0"/>
                  <w:marBottom w:val="0"/>
                  <w:divBdr>
                    <w:top w:val="none" w:sz="0" w:space="0" w:color="auto"/>
                    <w:left w:val="none" w:sz="0" w:space="0" w:color="auto"/>
                    <w:bottom w:val="none" w:sz="0" w:space="0" w:color="auto"/>
                    <w:right w:val="none" w:sz="0" w:space="0" w:color="auto"/>
                  </w:divBdr>
                </w:div>
                <w:div w:id="1861813690">
                  <w:marLeft w:val="0"/>
                  <w:marRight w:val="0"/>
                  <w:marTop w:val="0"/>
                  <w:marBottom w:val="0"/>
                  <w:divBdr>
                    <w:top w:val="none" w:sz="0" w:space="0" w:color="auto"/>
                    <w:left w:val="none" w:sz="0" w:space="0" w:color="auto"/>
                    <w:bottom w:val="none" w:sz="0" w:space="0" w:color="auto"/>
                    <w:right w:val="none" w:sz="0" w:space="0" w:color="auto"/>
                  </w:divBdr>
                </w:div>
                <w:div w:id="719943892">
                  <w:marLeft w:val="0"/>
                  <w:marRight w:val="0"/>
                  <w:marTop w:val="0"/>
                  <w:marBottom w:val="0"/>
                  <w:divBdr>
                    <w:top w:val="none" w:sz="0" w:space="0" w:color="auto"/>
                    <w:left w:val="none" w:sz="0" w:space="0" w:color="auto"/>
                    <w:bottom w:val="none" w:sz="0" w:space="0" w:color="auto"/>
                    <w:right w:val="none" w:sz="0" w:space="0" w:color="auto"/>
                  </w:divBdr>
                </w:div>
                <w:div w:id="276909098">
                  <w:marLeft w:val="0"/>
                  <w:marRight w:val="0"/>
                  <w:marTop w:val="0"/>
                  <w:marBottom w:val="0"/>
                  <w:divBdr>
                    <w:top w:val="none" w:sz="0" w:space="0" w:color="auto"/>
                    <w:left w:val="none" w:sz="0" w:space="0" w:color="auto"/>
                    <w:bottom w:val="none" w:sz="0" w:space="0" w:color="auto"/>
                    <w:right w:val="none" w:sz="0" w:space="0" w:color="auto"/>
                  </w:divBdr>
                </w:div>
                <w:div w:id="2015837938">
                  <w:marLeft w:val="0"/>
                  <w:marRight w:val="0"/>
                  <w:marTop w:val="0"/>
                  <w:marBottom w:val="0"/>
                  <w:divBdr>
                    <w:top w:val="none" w:sz="0" w:space="0" w:color="auto"/>
                    <w:left w:val="none" w:sz="0" w:space="0" w:color="auto"/>
                    <w:bottom w:val="none" w:sz="0" w:space="0" w:color="auto"/>
                    <w:right w:val="none" w:sz="0" w:space="0" w:color="auto"/>
                  </w:divBdr>
                </w:div>
                <w:div w:id="1371111062">
                  <w:marLeft w:val="0"/>
                  <w:marRight w:val="0"/>
                  <w:marTop w:val="0"/>
                  <w:marBottom w:val="0"/>
                  <w:divBdr>
                    <w:top w:val="none" w:sz="0" w:space="0" w:color="auto"/>
                    <w:left w:val="none" w:sz="0" w:space="0" w:color="auto"/>
                    <w:bottom w:val="none" w:sz="0" w:space="0" w:color="auto"/>
                    <w:right w:val="none" w:sz="0" w:space="0" w:color="auto"/>
                  </w:divBdr>
                </w:div>
                <w:div w:id="1765228804">
                  <w:marLeft w:val="0"/>
                  <w:marRight w:val="0"/>
                  <w:marTop w:val="0"/>
                  <w:marBottom w:val="0"/>
                  <w:divBdr>
                    <w:top w:val="none" w:sz="0" w:space="0" w:color="auto"/>
                    <w:left w:val="none" w:sz="0" w:space="0" w:color="auto"/>
                    <w:bottom w:val="none" w:sz="0" w:space="0" w:color="auto"/>
                    <w:right w:val="none" w:sz="0" w:space="0" w:color="auto"/>
                  </w:divBdr>
                </w:div>
                <w:div w:id="1120152134">
                  <w:marLeft w:val="0"/>
                  <w:marRight w:val="0"/>
                  <w:marTop w:val="0"/>
                  <w:marBottom w:val="0"/>
                  <w:divBdr>
                    <w:top w:val="none" w:sz="0" w:space="0" w:color="auto"/>
                    <w:left w:val="none" w:sz="0" w:space="0" w:color="auto"/>
                    <w:bottom w:val="none" w:sz="0" w:space="0" w:color="auto"/>
                    <w:right w:val="none" w:sz="0" w:space="0" w:color="auto"/>
                  </w:divBdr>
                </w:div>
                <w:div w:id="1188370730">
                  <w:marLeft w:val="0"/>
                  <w:marRight w:val="0"/>
                  <w:marTop w:val="0"/>
                  <w:marBottom w:val="0"/>
                  <w:divBdr>
                    <w:top w:val="none" w:sz="0" w:space="0" w:color="auto"/>
                    <w:left w:val="none" w:sz="0" w:space="0" w:color="auto"/>
                    <w:bottom w:val="none" w:sz="0" w:space="0" w:color="auto"/>
                    <w:right w:val="none" w:sz="0" w:space="0" w:color="auto"/>
                  </w:divBdr>
                </w:div>
                <w:div w:id="1805923892">
                  <w:marLeft w:val="0"/>
                  <w:marRight w:val="0"/>
                  <w:marTop w:val="0"/>
                  <w:marBottom w:val="0"/>
                  <w:divBdr>
                    <w:top w:val="none" w:sz="0" w:space="0" w:color="auto"/>
                    <w:left w:val="none" w:sz="0" w:space="0" w:color="auto"/>
                    <w:bottom w:val="none" w:sz="0" w:space="0" w:color="auto"/>
                    <w:right w:val="none" w:sz="0" w:space="0" w:color="auto"/>
                  </w:divBdr>
                </w:div>
                <w:div w:id="310407689">
                  <w:marLeft w:val="0"/>
                  <w:marRight w:val="0"/>
                  <w:marTop w:val="0"/>
                  <w:marBottom w:val="0"/>
                  <w:divBdr>
                    <w:top w:val="none" w:sz="0" w:space="0" w:color="auto"/>
                    <w:left w:val="none" w:sz="0" w:space="0" w:color="auto"/>
                    <w:bottom w:val="none" w:sz="0" w:space="0" w:color="auto"/>
                    <w:right w:val="none" w:sz="0" w:space="0" w:color="auto"/>
                  </w:divBdr>
                </w:div>
                <w:div w:id="2037195534">
                  <w:marLeft w:val="0"/>
                  <w:marRight w:val="0"/>
                  <w:marTop w:val="0"/>
                  <w:marBottom w:val="0"/>
                  <w:divBdr>
                    <w:top w:val="none" w:sz="0" w:space="0" w:color="auto"/>
                    <w:left w:val="none" w:sz="0" w:space="0" w:color="auto"/>
                    <w:bottom w:val="none" w:sz="0" w:space="0" w:color="auto"/>
                    <w:right w:val="none" w:sz="0" w:space="0" w:color="auto"/>
                  </w:divBdr>
                </w:div>
                <w:div w:id="1906138156">
                  <w:marLeft w:val="0"/>
                  <w:marRight w:val="0"/>
                  <w:marTop w:val="0"/>
                  <w:marBottom w:val="0"/>
                  <w:divBdr>
                    <w:top w:val="none" w:sz="0" w:space="0" w:color="auto"/>
                    <w:left w:val="none" w:sz="0" w:space="0" w:color="auto"/>
                    <w:bottom w:val="none" w:sz="0" w:space="0" w:color="auto"/>
                    <w:right w:val="none" w:sz="0" w:space="0" w:color="auto"/>
                  </w:divBdr>
                </w:div>
                <w:div w:id="446125123">
                  <w:marLeft w:val="0"/>
                  <w:marRight w:val="0"/>
                  <w:marTop w:val="0"/>
                  <w:marBottom w:val="0"/>
                  <w:divBdr>
                    <w:top w:val="none" w:sz="0" w:space="0" w:color="auto"/>
                    <w:left w:val="none" w:sz="0" w:space="0" w:color="auto"/>
                    <w:bottom w:val="none" w:sz="0" w:space="0" w:color="auto"/>
                    <w:right w:val="none" w:sz="0" w:space="0" w:color="auto"/>
                  </w:divBdr>
                </w:div>
                <w:div w:id="578486409">
                  <w:marLeft w:val="0"/>
                  <w:marRight w:val="0"/>
                  <w:marTop w:val="0"/>
                  <w:marBottom w:val="0"/>
                  <w:divBdr>
                    <w:top w:val="none" w:sz="0" w:space="0" w:color="auto"/>
                    <w:left w:val="none" w:sz="0" w:space="0" w:color="auto"/>
                    <w:bottom w:val="none" w:sz="0" w:space="0" w:color="auto"/>
                    <w:right w:val="none" w:sz="0" w:space="0" w:color="auto"/>
                  </w:divBdr>
                </w:div>
                <w:div w:id="6833378">
                  <w:marLeft w:val="0"/>
                  <w:marRight w:val="0"/>
                  <w:marTop w:val="0"/>
                  <w:marBottom w:val="0"/>
                  <w:divBdr>
                    <w:top w:val="none" w:sz="0" w:space="0" w:color="auto"/>
                    <w:left w:val="none" w:sz="0" w:space="0" w:color="auto"/>
                    <w:bottom w:val="none" w:sz="0" w:space="0" w:color="auto"/>
                    <w:right w:val="none" w:sz="0" w:space="0" w:color="auto"/>
                  </w:divBdr>
                </w:div>
                <w:div w:id="744304259">
                  <w:marLeft w:val="0"/>
                  <w:marRight w:val="0"/>
                  <w:marTop w:val="0"/>
                  <w:marBottom w:val="0"/>
                  <w:divBdr>
                    <w:top w:val="none" w:sz="0" w:space="0" w:color="auto"/>
                    <w:left w:val="none" w:sz="0" w:space="0" w:color="auto"/>
                    <w:bottom w:val="none" w:sz="0" w:space="0" w:color="auto"/>
                    <w:right w:val="none" w:sz="0" w:space="0" w:color="auto"/>
                  </w:divBdr>
                </w:div>
                <w:div w:id="1738505539">
                  <w:marLeft w:val="0"/>
                  <w:marRight w:val="0"/>
                  <w:marTop w:val="0"/>
                  <w:marBottom w:val="0"/>
                  <w:divBdr>
                    <w:top w:val="none" w:sz="0" w:space="0" w:color="auto"/>
                    <w:left w:val="none" w:sz="0" w:space="0" w:color="auto"/>
                    <w:bottom w:val="none" w:sz="0" w:space="0" w:color="auto"/>
                    <w:right w:val="none" w:sz="0" w:space="0" w:color="auto"/>
                  </w:divBdr>
                </w:div>
                <w:div w:id="515389729">
                  <w:marLeft w:val="0"/>
                  <w:marRight w:val="0"/>
                  <w:marTop w:val="0"/>
                  <w:marBottom w:val="0"/>
                  <w:divBdr>
                    <w:top w:val="none" w:sz="0" w:space="0" w:color="auto"/>
                    <w:left w:val="none" w:sz="0" w:space="0" w:color="auto"/>
                    <w:bottom w:val="none" w:sz="0" w:space="0" w:color="auto"/>
                    <w:right w:val="none" w:sz="0" w:space="0" w:color="auto"/>
                  </w:divBdr>
                </w:div>
                <w:div w:id="1366754030">
                  <w:marLeft w:val="0"/>
                  <w:marRight w:val="0"/>
                  <w:marTop w:val="0"/>
                  <w:marBottom w:val="0"/>
                  <w:divBdr>
                    <w:top w:val="none" w:sz="0" w:space="0" w:color="auto"/>
                    <w:left w:val="none" w:sz="0" w:space="0" w:color="auto"/>
                    <w:bottom w:val="none" w:sz="0" w:space="0" w:color="auto"/>
                    <w:right w:val="none" w:sz="0" w:space="0" w:color="auto"/>
                  </w:divBdr>
                </w:div>
                <w:div w:id="2035306546">
                  <w:marLeft w:val="0"/>
                  <w:marRight w:val="0"/>
                  <w:marTop w:val="0"/>
                  <w:marBottom w:val="0"/>
                  <w:divBdr>
                    <w:top w:val="none" w:sz="0" w:space="0" w:color="auto"/>
                    <w:left w:val="none" w:sz="0" w:space="0" w:color="auto"/>
                    <w:bottom w:val="none" w:sz="0" w:space="0" w:color="auto"/>
                    <w:right w:val="none" w:sz="0" w:space="0" w:color="auto"/>
                  </w:divBdr>
                </w:div>
                <w:div w:id="932325516">
                  <w:marLeft w:val="0"/>
                  <w:marRight w:val="0"/>
                  <w:marTop w:val="0"/>
                  <w:marBottom w:val="0"/>
                  <w:divBdr>
                    <w:top w:val="none" w:sz="0" w:space="0" w:color="auto"/>
                    <w:left w:val="none" w:sz="0" w:space="0" w:color="auto"/>
                    <w:bottom w:val="none" w:sz="0" w:space="0" w:color="auto"/>
                    <w:right w:val="none" w:sz="0" w:space="0" w:color="auto"/>
                  </w:divBdr>
                </w:div>
                <w:div w:id="86733257">
                  <w:marLeft w:val="0"/>
                  <w:marRight w:val="0"/>
                  <w:marTop w:val="0"/>
                  <w:marBottom w:val="0"/>
                  <w:divBdr>
                    <w:top w:val="none" w:sz="0" w:space="0" w:color="auto"/>
                    <w:left w:val="none" w:sz="0" w:space="0" w:color="auto"/>
                    <w:bottom w:val="none" w:sz="0" w:space="0" w:color="auto"/>
                    <w:right w:val="none" w:sz="0" w:space="0" w:color="auto"/>
                  </w:divBdr>
                </w:div>
                <w:div w:id="1135874406">
                  <w:marLeft w:val="0"/>
                  <w:marRight w:val="0"/>
                  <w:marTop w:val="0"/>
                  <w:marBottom w:val="0"/>
                  <w:divBdr>
                    <w:top w:val="none" w:sz="0" w:space="0" w:color="auto"/>
                    <w:left w:val="none" w:sz="0" w:space="0" w:color="auto"/>
                    <w:bottom w:val="none" w:sz="0" w:space="0" w:color="auto"/>
                    <w:right w:val="none" w:sz="0" w:space="0" w:color="auto"/>
                  </w:divBdr>
                </w:div>
                <w:div w:id="1928226829">
                  <w:marLeft w:val="0"/>
                  <w:marRight w:val="0"/>
                  <w:marTop w:val="0"/>
                  <w:marBottom w:val="0"/>
                  <w:divBdr>
                    <w:top w:val="none" w:sz="0" w:space="0" w:color="auto"/>
                    <w:left w:val="none" w:sz="0" w:space="0" w:color="auto"/>
                    <w:bottom w:val="none" w:sz="0" w:space="0" w:color="auto"/>
                    <w:right w:val="none" w:sz="0" w:space="0" w:color="auto"/>
                  </w:divBdr>
                </w:div>
                <w:div w:id="1444111248">
                  <w:marLeft w:val="0"/>
                  <w:marRight w:val="0"/>
                  <w:marTop w:val="0"/>
                  <w:marBottom w:val="0"/>
                  <w:divBdr>
                    <w:top w:val="none" w:sz="0" w:space="0" w:color="auto"/>
                    <w:left w:val="none" w:sz="0" w:space="0" w:color="auto"/>
                    <w:bottom w:val="none" w:sz="0" w:space="0" w:color="auto"/>
                    <w:right w:val="none" w:sz="0" w:space="0" w:color="auto"/>
                  </w:divBdr>
                </w:div>
                <w:div w:id="1112898483">
                  <w:marLeft w:val="0"/>
                  <w:marRight w:val="0"/>
                  <w:marTop w:val="0"/>
                  <w:marBottom w:val="0"/>
                  <w:divBdr>
                    <w:top w:val="none" w:sz="0" w:space="0" w:color="auto"/>
                    <w:left w:val="none" w:sz="0" w:space="0" w:color="auto"/>
                    <w:bottom w:val="none" w:sz="0" w:space="0" w:color="auto"/>
                    <w:right w:val="none" w:sz="0" w:space="0" w:color="auto"/>
                  </w:divBdr>
                </w:div>
                <w:div w:id="878516707">
                  <w:marLeft w:val="0"/>
                  <w:marRight w:val="0"/>
                  <w:marTop w:val="0"/>
                  <w:marBottom w:val="0"/>
                  <w:divBdr>
                    <w:top w:val="none" w:sz="0" w:space="0" w:color="auto"/>
                    <w:left w:val="none" w:sz="0" w:space="0" w:color="auto"/>
                    <w:bottom w:val="none" w:sz="0" w:space="0" w:color="auto"/>
                    <w:right w:val="none" w:sz="0" w:space="0" w:color="auto"/>
                  </w:divBdr>
                </w:div>
                <w:div w:id="731854542">
                  <w:marLeft w:val="0"/>
                  <w:marRight w:val="0"/>
                  <w:marTop w:val="0"/>
                  <w:marBottom w:val="0"/>
                  <w:divBdr>
                    <w:top w:val="none" w:sz="0" w:space="0" w:color="auto"/>
                    <w:left w:val="none" w:sz="0" w:space="0" w:color="auto"/>
                    <w:bottom w:val="none" w:sz="0" w:space="0" w:color="auto"/>
                    <w:right w:val="none" w:sz="0" w:space="0" w:color="auto"/>
                  </w:divBdr>
                </w:div>
                <w:div w:id="230193442">
                  <w:marLeft w:val="0"/>
                  <w:marRight w:val="0"/>
                  <w:marTop w:val="0"/>
                  <w:marBottom w:val="0"/>
                  <w:divBdr>
                    <w:top w:val="none" w:sz="0" w:space="0" w:color="auto"/>
                    <w:left w:val="none" w:sz="0" w:space="0" w:color="auto"/>
                    <w:bottom w:val="none" w:sz="0" w:space="0" w:color="auto"/>
                    <w:right w:val="none" w:sz="0" w:space="0" w:color="auto"/>
                  </w:divBdr>
                </w:div>
                <w:div w:id="795677190">
                  <w:marLeft w:val="0"/>
                  <w:marRight w:val="0"/>
                  <w:marTop w:val="0"/>
                  <w:marBottom w:val="0"/>
                  <w:divBdr>
                    <w:top w:val="none" w:sz="0" w:space="0" w:color="auto"/>
                    <w:left w:val="none" w:sz="0" w:space="0" w:color="auto"/>
                    <w:bottom w:val="none" w:sz="0" w:space="0" w:color="auto"/>
                    <w:right w:val="none" w:sz="0" w:space="0" w:color="auto"/>
                  </w:divBdr>
                </w:div>
                <w:div w:id="1894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3280</Words>
  <Characters>18042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trabajo</dc:creator>
  <cp:lastModifiedBy>trabajo</cp:lastModifiedBy>
  <cp:revision>1</cp:revision>
  <dcterms:created xsi:type="dcterms:W3CDTF">2012-12-07T13:58:00Z</dcterms:created>
  <dcterms:modified xsi:type="dcterms:W3CDTF">2012-12-07T14:02:00Z</dcterms:modified>
</cp:coreProperties>
</file>